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numbering.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header1.xml" ContentType="application/vnd.openxmlformats-officedocument.wordprocessingml.header+xml"/>
  <Override PartName="/word/media/image46.jpeg" ContentType="image/jpeg"/>
  <Override PartName="/word/media/image44.png" ContentType="image/png"/>
  <Override PartName="/word/media/image42.png" ContentType="image/png"/>
  <Override PartName="/word/media/image41.png" ContentType="image/png"/>
  <Override PartName="/word/media/image40.png" ContentType="image/png"/>
  <Override PartName="/word/media/image38.png" ContentType="image/png"/>
  <Override PartName="/word/media/image39.png" ContentType="image/png"/>
  <Override PartName="/word/media/image14.png" ContentType="image/png"/>
  <Override PartName="/word/media/image37.png" ContentType="image/png"/>
  <Override PartName="/word/media/image12.png" ContentType="image/png"/>
  <Override PartName="/word/media/image16.png" ContentType="image/png"/>
  <Override PartName="/word/media/image15.png" ContentType="image/png"/>
  <Override PartName="/word/media/image17.png" ContentType="image/png"/>
  <Override PartName="/word/media/image18.png" ContentType="image/png"/>
  <Override PartName="/word/media/image19.png" ContentType="image/png"/>
  <Override PartName="/word/media/image45.png" ContentType="image/png"/>
  <Override PartName="/word/media/image20.png" ContentType="image/png"/>
  <Override PartName="/word/media/image21.png" ContentType="image/png"/>
  <Override PartName="/word/media/image47.png" ContentType="image/png"/>
  <Override PartName="/word/media/image22.png" ContentType="image/png"/>
  <Override PartName="/word/media/image48.png" ContentType="image/png"/>
  <Override PartName="/word/media/image23.png" ContentType="image/png"/>
  <Override PartName="/word/media/image49.png" ContentType="image/png"/>
  <Override PartName="/word/media/image24.png" ContentType="image/png"/>
  <Override PartName="/word/media/image25.png" ContentType="image/png"/>
  <Override PartName="/word/media/image7.jpeg" ContentType="image/jpe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10.png" ContentType="image/png"/>
  <Override PartName="/word/media/image35.png" ContentType="image/png"/>
  <Override PartName="/word/media/image11.png" ContentType="image/png"/>
  <Override PartName="/word/media/image36.png" ContentType="image/png"/>
  <Override PartName="/word/media/image43.png" ContentType="image/png"/>
  <Override PartName="/word/media/image13.wmf" ContentType="image/x-wmf"/>
  <Override PartName="/word/media/image9.wmf" ContentType="image/x-wmf"/>
  <Override PartName="/word/media/image8.png" ContentType="image/png"/>
  <Override PartName="/word/media/image2.png" ContentType="image/png"/>
  <Override PartName="/word/media/image1.png" ContentType="image/png"/>
  <Override PartName="/word/media/image3.png" ContentType="image/png"/>
  <Override PartName="/word/media/image4.png" ContentType="image/png"/>
  <Override PartName="/word/media/image5.png" ContentType="image/png"/>
  <Override PartName="/word/media/image6.png" ContentType="image/png"/>
  <Override PartName="/word/header2.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detexto"/>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 xml:space="preserve"> </w:t>
      </w:r>
      <w:r>
        <w:rPr/>
        <w:drawing>
          <wp:inline distT="0" distB="0" distL="0" distR="0">
            <wp:extent cx="685800" cy="838200"/>
            <wp:effectExtent l="0" t="0" r="0" b="0"/>
            <wp:docPr id="1"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8" descr=""/>
                    <pic:cNvPicPr>
                      <a:picLocks noChangeAspect="1" noChangeArrowheads="1"/>
                    </pic:cNvPicPr>
                  </pic:nvPicPr>
                  <pic:blipFill>
                    <a:blip r:embed="rId2"/>
                    <a:srcRect l="0" t="0" r="0" b="26205"/>
                    <a:stretch>
                      <a:fillRect/>
                    </a:stretch>
                  </pic:blipFill>
                  <pic:spPr bwMode="auto">
                    <a:xfrm>
                      <a:off x="0" y="0"/>
                      <a:ext cx="685800" cy="838200"/>
                    </a:xfrm>
                    <a:prstGeom prst="rect">
                      <a:avLst/>
                    </a:prstGeom>
                  </pic:spPr>
                </pic:pic>
              </a:graphicData>
            </a:graphic>
          </wp:inline>
        </w:drawing>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UNIVERSIDADE FEDERAL DO CEARÁ</w:t>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t>CENTRO DE TECNOLOGIA</w:t>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t>DEPARTAMENTO DE ENGENHARIA METALÚRGICA E DE MATERIAIS</w:t>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t>PROGRAMA DE PÓS-GRADUAÇÃO EM ENGENHARIA E CIÊNCIA DE MATERIAIS</w:t>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bookmarkStart w:id="0" w:name="_Toc257729037"/>
      <w:bookmarkStart w:id="1" w:name="_Toc257729425"/>
      <w:bookmarkStart w:id="2" w:name="_Toc257729462"/>
      <w:bookmarkStart w:id="3" w:name="_Toc266864362"/>
      <w:bookmarkStart w:id="4" w:name="_Toc266865604"/>
      <w:bookmarkEnd w:id="0"/>
      <w:bookmarkEnd w:id="1"/>
      <w:bookmarkEnd w:id="2"/>
      <w:bookmarkEnd w:id="3"/>
      <w:bookmarkEnd w:id="4"/>
      <w:r>
        <w:rPr>
          <w:rFonts w:cs="Times New Roman" w:ascii="Times New Roman" w:hAnsi="Times New Roman"/>
          <w:b/>
          <w:bCs/>
          <w:sz w:val="24"/>
          <w:szCs w:val="24"/>
        </w:rPr>
        <w:t>ROBERTO JORGE BEZERRA LAURISTON</w:t>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ind w:right="-1" w:hanging="0"/>
        <w:jc w:val="center"/>
        <w:rPr>
          <w:rFonts w:ascii="Times New Roman" w:hAnsi="Times New Roman" w:cs="Times New Roman"/>
          <w:b/>
          <w:b/>
          <w:bCs/>
          <w:sz w:val="24"/>
          <w:szCs w:val="24"/>
        </w:rPr>
      </w:pPr>
      <w:r>
        <w:rPr>
          <w:rFonts w:cs="Times New Roman" w:ascii="Times New Roman" w:hAnsi="Times New Roman"/>
          <w:b/>
          <w:bCs/>
          <w:sz w:val="24"/>
          <w:szCs w:val="24"/>
        </w:rPr>
        <w:t>DETERMINAÇÃO DA CINÉTICA DE CRISTALIZAÇÃO EM PÓ FLUXANTE LIVRE DE FLÚOR ATRAVÉS DA DSC EM CONDIÇÕES ISOTÉRMICAS</w:t>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bookmarkStart w:id="5" w:name="_Toc257729038"/>
      <w:bookmarkStart w:id="6" w:name="_Toc257729426"/>
      <w:bookmarkStart w:id="7" w:name="_Toc257729463"/>
      <w:bookmarkStart w:id="8" w:name="_Toc266864363"/>
      <w:bookmarkStart w:id="9" w:name="_Toc266865605"/>
      <w:bookmarkStart w:id="10" w:name="_Toc257729038"/>
      <w:bookmarkStart w:id="11" w:name="_Toc257729426"/>
      <w:bookmarkStart w:id="12" w:name="_Toc257729463"/>
      <w:bookmarkStart w:id="13" w:name="_Toc266864363"/>
      <w:bookmarkStart w:id="14" w:name="_Toc266865605"/>
      <w:bookmarkEnd w:id="10"/>
      <w:bookmarkEnd w:id="11"/>
      <w:bookmarkEnd w:id="12"/>
      <w:bookmarkEnd w:id="13"/>
      <w:bookmarkEnd w:id="14"/>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t>FORTALEZ</w:t>
      </w:r>
      <w:bookmarkStart w:id="15" w:name="_Toc257729040"/>
      <w:bookmarkStart w:id="16" w:name="_Toc257729428"/>
      <w:bookmarkStart w:id="17" w:name="_Toc257729465"/>
      <w:bookmarkStart w:id="18" w:name="_Toc266864365"/>
      <w:bookmarkStart w:id="19" w:name="_Toc266865607"/>
      <w:bookmarkEnd w:id="15"/>
      <w:bookmarkEnd w:id="16"/>
      <w:bookmarkEnd w:id="17"/>
      <w:bookmarkEnd w:id="18"/>
      <w:bookmarkEnd w:id="19"/>
      <w:r>
        <w:rPr>
          <w:rFonts w:cs="Times New Roman" w:ascii="Times New Roman" w:hAnsi="Times New Roman"/>
          <w:b/>
          <w:bCs/>
          <w:sz w:val="24"/>
          <w:szCs w:val="24"/>
        </w:rPr>
        <w:t>A</w:t>
      </w:r>
    </w:p>
    <w:p>
      <w:pPr>
        <w:sectPr>
          <w:type w:val="nextPage"/>
          <w:pgSz w:w="11906" w:h="16838"/>
          <w:pgMar w:left="1701" w:right="1134" w:header="0" w:top="1701" w:footer="0" w:bottom="1134" w:gutter="0"/>
          <w:pgNumType w:start="1" w:fmt="decimal"/>
          <w:formProt w:val="false"/>
          <w:textDirection w:val="lrTb"/>
          <w:docGrid w:type="default" w:linePitch="299" w:charSpace="4294965042"/>
        </w:sect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
          <w:bCs/>
          <w:sz w:val="24"/>
          <w:szCs w:val="24"/>
        </w:rPr>
        <w:t>2024</w:t>
      </w:r>
    </w:p>
    <w:p>
      <w:pPr>
        <w:pStyle w:val="Corpodetexto"/>
        <w:jc w:val="center"/>
        <w:rPr>
          <w:rFonts w:ascii="Times New Roman" w:hAnsi="Times New Roman" w:cs="Times New Roman"/>
          <w:bCs/>
          <w:sz w:val="24"/>
          <w:szCs w:val="24"/>
        </w:rPr>
      </w:pPr>
      <w:r>
        <mc:AlternateContent>
          <mc:Choice Requires="wps">
            <w:drawing>
              <wp:anchor behindDoc="0" distT="0" distB="0" distL="114300" distR="114300" simplePos="0" locked="0" layoutInCell="1" allowOverlap="1" relativeHeight="124" wp14:anchorId="2CFE9015">
                <wp:simplePos x="0" y="0"/>
                <wp:positionH relativeFrom="column">
                  <wp:posOffset>5633085</wp:posOffset>
                </wp:positionH>
                <wp:positionV relativeFrom="paragraph">
                  <wp:posOffset>-606425</wp:posOffset>
                </wp:positionV>
                <wp:extent cx="267970" cy="224790"/>
                <wp:effectExtent l="0" t="0" r="0" b="4445"/>
                <wp:wrapNone/>
                <wp:docPr id="2" name="Retângulo 9"/>
                <a:graphic xmlns:a="http://schemas.openxmlformats.org/drawingml/2006/main">
                  <a:graphicData uri="http://schemas.microsoft.com/office/word/2010/wordprocessingShape">
                    <wps:wsp>
                      <wps:cNvSpPr/>
                      <wps:spPr>
                        <a:xfrm>
                          <a:off x="0" y="0"/>
                          <a:ext cx="267480" cy="224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9" fillcolor="white" stroked="f" style="position:absolute;margin-left:443.55pt;margin-top:-47.75pt;width:21pt;height:17.6pt" wp14:anchorId="2CFE9015">
                <w10:wrap type="none"/>
                <v:fill o:detectmouseclick="t" type="solid" color2="black"/>
                <v:stroke color="#3465a4" weight="12600" joinstyle="miter" endcap="flat"/>
              </v:rect>
            </w:pict>
          </mc:Fallback>
        </mc:AlternateContent>
      </w:r>
      <w:r>
        <w:rPr>
          <w:rFonts w:cs="Times New Roman" w:ascii="Times New Roman" w:hAnsi="Times New Roman"/>
          <w:bCs/>
          <w:sz w:val="24"/>
          <w:szCs w:val="24"/>
        </w:rPr>
        <w:t>ROBERTO JORGE BEZERRA LAURISTON</w:t>
      </w:r>
    </w:p>
    <w:p>
      <w:pPr>
        <w:pStyle w:val="Corpodetexto"/>
        <w:jc w:val="center"/>
        <w:rPr>
          <w:rFonts w:ascii="Times New Roman" w:hAnsi="Times New Roman" w:cs="Times New Roman"/>
          <w:bCs/>
          <w:sz w:val="24"/>
          <w:szCs w:val="24"/>
        </w:rPr>
      </w:pPr>
      <w:r>
        <w:rPr>
          <w:rFonts w:cs="Times New Roman" w:ascii="Times New Roman" w:hAnsi="Times New Roman"/>
          <w:bCs/>
          <w:sz w:val="24"/>
          <w:szCs w:val="24"/>
        </w:rPr>
      </w:r>
    </w:p>
    <w:p>
      <w:pPr>
        <w:pStyle w:val="Corpodetexto"/>
        <w:jc w:val="center"/>
        <w:rPr>
          <w:rFonts w:ascii="Times New Roman" w:hAnsi="Times New Roman" w:cs="Times New Roman"/>
          <w:bCs/>
          <w:sz w:val="24"/>
          <w:szCs w:val="24"/>
        </w:rPr>
      </w:pPr>
      <w:r>
        <w:rPr>
          <w:rFonts w:cs="Times New Roman" w:ascii="Times New Roman" w:hAnsi="Times New Roman"/>
          <w:bCs/>
          <w:sz w:val="24"/>
          <w:szCs w:val="24"/>
        </w:rPr>
      </w:r>
    </w:p>
    <w:p>
      <w:pPr>
        <w:pStyle w:val="Corpodetexto"/>
        <w:jc w:val="center"/>
        <w:rPr>
          <w:rFonts w:ascii="Times New Roman" w:hAnsi="Times New Roman" w:cs="Times New Roman"/>
          <w:bCs/>
          <w:sz w:val="24"/>
          <w:szCs w:val="24"/>
        </w:rPr>
      </w:pPr>
      <w:r>
        <w:rPr>
          <w:rFonts w:cs="Times New Roman" w:ascii="Times New Roman" w:hAnsi="Times New Roman"/>
          <w:bCs/>
          <w:sz w:val="24"/>
          <w:szCs w:val="24"/>
        </w:rPr>
      </w:r>
    </w:p>
    <w:p>
      <w:pPr>
        <w:pStyle w:val="Corpodetexto"/>
        <w:jc w:val="center"/>
        <w:rPr>
          <w:rFonts w:ascii="Times New Roman" w:hAnsi="Times New Roman" w:cs="Times New Roman"/>
          <w:bCs/>
          <w:sz w:val="24"/>
          <w:szCs w:val="24"/>
        </w:rPr>
      </w:pPr>
      <w:r>
        <w:rPr>
          <w:rFonts w:cs="Times New Roman" w:ascii="Times New Roman" w:hAnsi="Times New Roman"/>
          <w:bCs/>
          <w:sz w:val="24"/>
          <w:szCs w:val="24"/>
        </w:rPr>
      </w:r>
    </w:p>
    <w:p>
      <w:pPr>
        <w:pStyle w:val="Corpodetexto"/>
        <w:jc w:val="center"/>
        <w:rPr>
          <w:rFonts w:ascii="Times New Roman" w:hAnsi="Times New Roman" w:cs="Times New Roman"/>
          <w:bCs/>
          <w:sz w:val="24"/>
          <w:szCs w:val="24"/>
        </w:rPr>
      </w:pPr>
      <w:r>
        <w:rPr>
          <w:rFonts w:cs="Times New Roman" w:ascii="Times New Roman" w:hAnsi="Times New Roman"/>
          <w:bCs/>
          <w:sz w:val="24"/>
          <w:szCs w:val="24"/>
        </w:rPr>
      </w:r>
    </w:p>
    <w:p>
      <w:pPr>
        <w:pStyle w:val="Corpodetexto"/>
        <w:jc w:val="center"/>
        <w:rPr>
          <w:rFonts w:ascii="Times New Roman" w:hAnsi="Times New Roman" w:cs="Times New Roman"/>
          <w:bCs/>
          <w:sz w:val="24"/>
          <w:szCs w:val="24"/>
        </w:rPr>
      </w:pPr>
      <w:r>
        <w:rPr>
          <w:rFonts w:cs="Times New Roman" w:ascii="Times New Roman" w:hAnsi="Times New Roman"/>
          <w:bCs/>
          <w:sz w:val="24"/>
          <w:szCs w:val="24"/>
        </w:rPr>
      </w:r>
    </w:p>
    <w:p>
      <w:pPr>
        <w:pStyle w:val="Corpodetexto"/>
        <w:jc w:val="center"/>
        <w:rPr>
          <w:rFonts w:ascii="Times New Roman" w:hAnsi="Times New Roman" w:cs="Times New Roman"/>
          <w:bCs/>
          <w:sz w:val="24"/>
          <w:szCs w:val="24"/>
        </w:rPr>
      </w:pPr>
      <w:r>
        <w:rPr>
          <w:rFonts w:cs="Times New Roman" w:ascii="Times New Roman" w:hAnsi="Times New Roman"/>
          <w:bCs/>
          <w:sz w:val="24"/>
          <w:szCs w:val="24"/>
        </w:rPr>
      </w:r>
    </w:p>
    <w:p>
      <w:pPr>
        <w:pStyle w:val="Normal"/>
        <w:jc w:val="center"/>
        <w:rPr>
          <w:rFonts w:ascii="Times New Roman" w:hAnsi="Times New Roman" w:cs="Times New Roman"/>
          <w:bCs/>
          <w:sz w:val="24"/>
          <w:szCs w:val="24"/>
        </w:rPr>
      </w:pPr>
      <w:r>
        <w:rPr>
          <w:rFonts w:cs="Times New Roman" w:ascii="Times New Roman" w:hAnsi="Times New Roman"/>
          <w:bCs/>
          <w:sz w:val="24"/>
          <w:szCs w:val="24"/>
        </w:rPr>
        <w:t>DETERMINAÇÃO DA CINÉTICA DE CRISTALIZAÇÃO EM PÓ FLUXANTE LIVRE DE FLÚOR ATRAVÉS DA DSC EM CONDIÇÕES ISOTÉRMICAS</w:t>
      </w:r>
    </w:p>
    <w:p>
      <w:pPr>
        <w:pStyle w:val="Corpodetexto"/>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rPr>
        <w:t xml:space="preserve">Dissertação apresentada ao Programa de Pós-Graduação em Engenharia e Ciência de Materiais da Universidade Federal do Ceará, como requisito parcial à obtenção do título de mestre em Engenharia e Ciência de Materiais. Área de concentração: </w:t>
      </w:r>
      <w:r>
        <w:rPr>
          <w:rFonts w:cs="Times New Roman" w:ascii="Times New Roman" w:hAnsi="Times New Roman"/>
          <w:sz w:val="24"/>
          <w:szCs w:val="24"/>
        </w:rPr>
        <w:t>Processos de transformação e degradação de materiais.</w:t>
      </w:r>
    </w:p>
    <w:p>
      <w:pPr>
        <w:pStyle w:val="Corpodetexto"/>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t>Orientador: Prof. Dr.-Ing. Jeferson Leandro Klug</w:t>
      </w:r>
    </w:p>
    <w:p>
      <w:pPr>
        <w:pStyle w:val="Corpodetexto"/>
        <w:spacing w:before="0" w:after="0"/>
        <w:ind w:left="5103" w:hanging="0"/>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lineRule="auto" w:line="360" w:before="0" w:after="0"/>
        <w:jc w:val="center"/>
        <w:rPr>
          <w:rFonts w:ascii="Times New Roman" w:hAnsi="Times New Roman" w:cs="Times New Roman"/>
          <w:bCs/>
          <w:sz w:val="24"/>
          <w:szCs w:val="24"/>
        </w:rPr>
      </w:pPr>
      <w:r>
        <w:rPr>
          <w:rFonts w:cs="Times New Roman" w:ascii="Times New Roman" w:hAnsi="Times New Roman"/>
          <w:bCs/>
          <w:sz w:val="24"/>
          <w:szCs w:val="24"/>
        </w:rPr>
        <w:t>FORTALEZA</w:t>
      </w:r>
    </w:p>
    <w:p>
      <w:pPr>
        <w:sectPr>
          <w:type w:val="nextPage"/>
          <w:pgSz w:w="11906" w:h="16838"/>
          <w:pgMar w:left="1701" w:right="1134" w:header="0" w:top="1701" w:footer="0" w:bottom="1134" w:gutter="0"/>
          <w:pgNumType w:start="1" w:fmt="decimal"/>
          <w:formProt w:val="false"/>
          <w:textDirection w:val="lrTb"/>
          <w:docGrid w:type="default" w:linePitch="299" w:charSpace="4294965042"/>
        </w:sectPr>
        <w:pStyle w:val="Corpodetexto"/>
        <w:spacing w:lineRule="auto" w:line="360" w:before="0" w:after="0"/>
        <w:jc w:val="center"/>
        <w:rPr>
          <w:rFonts w:ascii="Times New Roman" w:hAnsi="Times New Roman" w:cs="Times New Roman"/>
          <w:b/>
          <w:b/>
          <w:bCs/>
          <w:sz w:val="24"/>
          <w:szCs w:val="24"/>
        </w:rPr>
      </w:pPr>
      <w:r>
        <w:rPr>
          <w:rFonts w:cs="Times New Roman" w:ascii="Times New Roman" w:hAnsi="Times New Roman"/>
          <w:bCs/>
          <w:sz w:val="24"/>
          <w:szCs w:val="24"/>
        </w:rPr>
        <w:t>2024</w:t>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before="0" w:after="0"/>
        <w:jc w:val="center"/>
        <w:rPr>
          <w:rFonts w:ascii="Times New Roman" w:hAnsi="Times New Roman" w:cs="Times New Roman"/>
          <w:color w:val="FF0000"/>
          <w:sz w:val="20"/>
          <w:szCs w:val="20"/>
        </w:rPr>
      </w:pPr>
      <w:r>
        <w:rPr>
          <w:rFonts w:cs="Times New Roman" w:ascii="Times New Roman" w:hAnsi="Times New Roman"/>
          <w:color w:val="FF0000"/>
          <w:sz w:val="20"/>
          <w:szCs w:val="20"/>
        </w:rPr>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 xml:space="preserve">Dados Internacionais de Catalogação na Publicação </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Universidade Federal do Ceará</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Sistema de Bibliotecas</w:t>
      </w:r>
    </w:p>
    <w:p>
      <w:pPr>
        <w:pStyle w:val="Normal"/>
        <w:pBdr>
          <w:bottom w:val="single" w:sz="12" w:space="1" w:color="000000"/>
        </w:pBdr>
        <w:spacing w:lineRule="auto" w:line="240" w:before="0" w:after="0"/>
        <w:ind w:left="284" w:right="282" w:hanging="0"/>
        <w:jc w:val="center"/>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Gerada automaticamente pelo módulo Catalog, mediante os dados fornecidos pelo autor</w:t>
      </w:r>
    </w:p>
    <w:p>
      <w:pPr>
        <w:pStyle w:val="Normal"/>
        <w:tabs>
          <w:tab w:val="left" w:pos="993" w:leader="none"/>
        </w:tabs>
        <w:spacing w:lineRule="auto" w:line="240" w:before="0" w:after="0"/>
        <w:ind w:left="284" w:right="282" w:hanging="0"/>
        <w:rPr>
          <w:rFonts w:ascii="Times New Roman" w:hAnsi="Times New Roman" w:cs="Times New Roman"/>
          <w:sz w:val="20"/>
          <w:szCs w:val="20"/>
        </w:rPr>
      </w:pPr>
      <w:r>
        <w:rPr>
          <w:rFonts w:cs="Times New Roman" w:ascii="Times New Roman" w:hAnsi="Times New Roman"/>
          <w:sz w:val="20"/>
          <w:szCs w:val="20"/>
        </w:rPr>
        <w:t>L416d</w:t>
        <w:tab/>
        <w:t>Lauriston, Roberto Jorge Bezerra.</w:t>
      </w:r>
    </w:p>
    <w:p>
      <w:pPr>
        <w:pStyle w:val="Normal"/>
        <w:tabs>
          <w:tab w:val="left" w:pos="1134" w:leader="none"/>
          <w:tab w:val="left" w:pos="1418" w:leader="none"/>
        </w:tabs>
        <w:spacing w:lineRule="auto" w:line="240" w:before="0" w:after="0"/>
        <w:ind w:left="993" w:right="282" w:hanging="0"/>
        <w:rPr>
          <w:rFonts w:ascii="Times New Roman" w:hAnsi="Times New Roman" w:cs="Times New Roman"/>
          <w:sz w:val="20"/>
          <w:szCs w:val="20"/>
        </w:rPr>
      </w:pPr>
      <w:r>
        <w:rPr>
          <w:rFonts w:cs="Times New Roman" w:ascii="Times New Roman" w:hAnsi="Times New Roman"/>
          <w:sz w:val="20"/>
          <w:szCs w:val="20"/>
        </w:rPr>
        <w:tab/>
        <w:t>Determinação da cinética de cristalização em pó fluxante livre de flúor através da DSC em condições isotérmicas / Roberto Jorge Bezerra Lauriston. – 2024.</w:t>
      </w:r>
    </w:p>
    <w:p>
      <w:pPr>
        <w:pStyle w:val="Normal"/>
        <w:spacing w:lineRule="auto" w:line="240" w:before="0" w:after="0"/>
        <w:ind w:left="1134" w:right="282" w:hanging="0"/>
        <w:rPr>
          <w:rFonts w:ascii="Times New Roman" w:hAnsi="Times New Roman" w:cs="Times New Roman"/>
          <w:sz w:val="20"/>
          <w:szCs w:val="20"/>
        </w:rPr>
      </w:pPr>
      <w:r>
        <w:rPr>
          <w:rFonts w:cs="Times New Roman" w:ascii="Times New Roman" w:hAnsi="Times New Roman"/>
          <w:sz w:val="20"/>
          <w:szCs w:val="20"/>
        </w:rPr>
        <w:t>81 f.: il. Color.</w:t>
      </w:r>
    </w:p>
    <w:p>
      <w:pPr>
        <w:pStyle w:val="Normal"/>
        <w:spacing w:lineRule="auto" w:line="240" w:before="0" w:after="0"/>
        <w:ind w:left="993" w:right="282" w:hanging="0"/>
        <w:rPr>
          <w:rFonts w:ascii="Times New Roman" w:hAnsi="Times New Roman" w:cs="Times New Roman"/>
          <w:sz w:val="20"/>
          <w:szCs w:val="20"/>
        </w:rPr>
      </w:pPr>
      <w:r>
        <w:rPr>
          <w:rFonts w:cs="Times New Roman" w:ascii="Times New Roman" w:hAnsi="Times New Roman"/>
          <w:sz w:val="20"/>
          <w:szCs w:val="20"/>
        </w:rPr>
      </w:r>
    </w:p>
    <w:p>
      <w:pPr>
        <w:pStyle w:val="Normal"/>
        <w:tabs>
          <w:tab w:val="left" w:pos="1134" w:leader="none"/>
        </w:tabs>
        <w:spacing w:lineRule="auto" w:line="240" w:before="0" w:after="0"/>
        <w:ind w:left="993" w:right="282" w:hanging="0"/>
        <w:rPr>
          <w:rFonts w:ascii="Times New Roman" w:hAnsi="Times New Roman" w:cs="Times New Roman"/>
          <w:sz w:val="20"/>
          <w:szCs w:val="20"/>
        </w:rPr>
      </w:pPr>
      <w:r>
        <w:rPr>
          <w:rFonts w:cs="Times New Roman" w:ascii="Times New Roman" w:hAnsi="Times New Roman"/>
          <w:sz w:val="20"/>
          <w:szCs w:val="20"/>
        </w:rPr>
        <w:tab/>
        <w:t>Dissertação (mestrado) – Universidade Federal do Ceará, Centro de tecnologia, Programa de pós-graduação em Engenharia e Ciências de Materiais, Fortaleza, 2024.</w:t>
      </w:r>
    </w:p>
    <w:p>
      <w:pPr>
        <w:pStyle w:val="Normal"/>
        <w:tabs>
          <w:tab w:val="left" w:pos="1134" w:leader="none"/>
        </w:tabs>
        <w:spacing w:lineRule="auto" w:line="240" w:before="0" w:after="0"/>
        <w:ind w:left="284" w:right="282" w:hanging="0"/>
        <w:rPr>
          <w:rFonts w:ascii="Times New Roman" w:hAnsi="Times New Roman" w:cs="Times New Roman"/>
          <w:sz w:val="20"/>
          <w:szCs w:val="20"/>
        </w:rPr>
      </w:pPr>
      <w:r>
        <w:rPr>
          <w:rFonts w:cs="Times New Roman" w:ascii="Times New Roman" w:hAnsi="Times New Roman"/>
          <w:sz w:val="20"/>
          <w:szCs w:val="20"/>
        </w:rPr>
        <w:tab/>
        <w:t>Orientação: Prof. Dr. Jeferson Leandro Klug.</w:t>
      </w:r>
    </w:p>
    <w:p>
      <w:pPr>
        <w:pStyle w:val="Normal"/>
        <w:tabs>
          <w:tab w:val="left" w:pos="993" w:leader="none"/>
        </w:tabs>
        <w:spacing w:lineRule="auto" w:line="240" w:before="0" w:after="0"/>
        <w:ind w:left="284" w:right="282" w:hanging="0"/>
        <w:rPr>
          <w:rFonts w:ascii="Times New Roman" w:hAnsi="Times New Roman" w:cs="Times New Roman"/>
          <w:sz w:val="20"/>
          <w:szCs w:val="20"/>
        </w:rPr>
      </w:pPr>
      <w:r>
        <w:rPr>
          <w:rFonts w:cs="Times New Roman" w:ascii="Times New Roman" w:hAnsi="Times New Roman"/>
          <w:sz w:val="20"/>
          <w:szCs w:val="20"/>
        </w:rPr>
      </w:r>
    </w:p>
    <w:p>
      <w:pPr>
        <w:pStyle w:val="ListParagraph"/>
        <w:numPr>
          <w:ilvl w:val="0"/>
          <w:numId w:val="13"/>
        </w:numPr>
        <w:tabs>
          <w:tab w:val="left" w:pos="567" w:leader="none"/>
          <w:tab w:val="left" w:pos="1134" w:leader="none"/>
          <w:tab w:val="left" w:pos="1276" w:leader="none"/>
        </w:tabs>
        <w:spacing w:lineRule="auto" w:line="240" w:before="0" w:after="0"/>
        <w:ind w:left="1134" w:right="282" w:hanging="0"/>
        <w:contextualSpacing/>
        <w:rPr>
          <w:rFonts w:ascii="Times New Roman" w:hAnsi="Times New Roman"/>
          <w:sz w:val="20"/>
          <w:szCs w:val="20"/>
        </w:rPr>
      </w:pPr>
      <w:r>
        <w:rPr>
          <w:rFonts w:ascii="Times New Roman" w:hAnsi="Times New Roman"/>
          <w:sz w:val="20"/>
          <w:szCs w:val="20"/>
        </w:rPr>
        <w:t>Lingotamento Contínuo, 2. Pó Fluxante, 3. Cristalização</w:t>
      </w:r>
    </w:p>
    <w:p>
      <w:pPr>
        <w:pStyle w:val="ListParagraph"/>
        <w:pBdr>
          <w:bottom w:val="single" w:sz="12" w:space="1" w:color="000000"/>
        </w:pBdr>
        <w:tabs>
          <w:tab w:val="left" w:pos="993" w:leader="none"/>
        </w:tabs>
        <w:spacing w:lineRule="auto" w:line="240" w:before="0" w:after="0"/>
        <w:ind w:left="284" w:right="282" w:hanging="0"/>
        <w:contextualSpacing/>
        <w:rPr>
          <w:rFonts w:ascii="Times New Roman" w:hAnsi="Times New Roman"/>
          <w:sz w:val="20"/>
          <w:szCs w:val="20"/>
        </w:rPr>
      </w:pPr>
      <w:r>
        <w:rPr>
          <w:rFonts w:ascii="Times New Roman" w:hAnsi="Times New Roman"/>
          <w:sz w:val="20"/>
          <w:szCs w:val="20"/>
        </w:rPr>
        <w:tab/>
        <w:tab/>
        <w:tab/>
        <w:tab/>
        <w:tab/>
        <w:tab/>
        <w:tab/>
        <w:tab/>
        <w:tab/>
        <w:tab/>
        <w:t>CDD 620.11</w:t>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r>
    </w:p>
    <w:p>
      <w:pPr>
        <w:pStyle w:val="Corpodetexto"/>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r>
    </w:p>
    <w:p>
      <w:pPr>
        <w:pStyle w:val="Corpodetexto"/>
        <w:spacing w:lineRule="auto" w:line="240" w:before="0" w:after="0"/>
        <w:jc w:val="center"/>
        <w:rPr>
          <w:rFonts w:ascii="Times New Roman" w:hAnsi="Times New Roman" w:cs="Times New Roman"/>
          <w:bCs/>
          <w:sz w:val="24"/>
          <w:szCs w:val="24"/>
        </w:rPr>
      </w:pPr>
      <w:r>
        <mc:AlternateContent>
          <mc:Choice Requires="wps">
            <w:drawing>
              <wp:anchor behindDoc="0" distT="0" distB="0" distL="114300" distR="114300" simplePos="0" locked="0" layoutInCell="1" allowOverlap="1" relativeHeight="126" wp14:anchorId="182AF84D">
                <wp:simplePos x="0" y="0"/>
                <wp:positionH relativeFrom="column">
                  <wp:posOffset>5633085</wp:posOffset>
                </wp:positionH>
                <wp:positionV relativeFrom="paragraph">
                  <wp:posOffset>-606425</wp:posOffset>
                </wp:positionV>
                <wp:extent cx="267970" cy="224790"/>
                <wp:effectExtent l="0" t="0" r="0" b="4445"/>
                <wp:wrapNone/>
                <wp:docPr id="3" name="Retângulo 2"/>
                <a:graphic xmlns:a="http://schemas.openxmlformats.org/drawingml/2006/main">
                  <a:graphicData uri="http://schemas.microsoft.com/office/word/2010/wordprocessingShape">
                    <wps:wsp>
                      <wps:cNvSpPr/>
                      <wps:spPr>
                        <a:xfrm>
                          <a:off x="0" y="0"/>
                          <a:ext cx="267480" cy="224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2" fillcolor="white" stroked="f" style="position:absolute;margin-left:443.55pt;margin-top:-47.75pt;width:21pt;height:17.6pt" wp14:anchorId="182AF84D">
                <w10:wrap type="none"/>
                <v:fill o:detectmouseclick="t" type="solid" color2="black"/>
                <v:stroke color="#3465a4" weight="12600" joinstyle="miter" endcap="flat"/>
              </v:rect>
            </w:pict>
          </mc:Fallback>
        </mc:AlternateContent>
      </w:r>
      <w:r>
        <w:rPr>
          <w:rFonts w:cs="Times New Roman" w:ascii="Times New Roman" w:hAnsi="Times New Roman"/>
          <w:bCs/>
          <w:sz w:val="24"/>
          <w:szCs w:val="24"/>
        </w:rPr>
        <w:t>ROBERTO JORGE BEZERRA LAURISTON</w:t>
      </w:r>
    </w:p>
    <w:p>
      <w:pPr>
        <w:pStyle w:val="Corpodetexto"/>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r>
    </w:p>
    <w:p>
      <w:pPr>
        <w:pStyle w:val="Corpodetexto"/>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Corpodetexto"/>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jc w:val="center"/>
        <w:rPr>
          <w:rFonts w:ascii="Times New Roman" w:hAnsi="Times New Roman" w:cs="Times New Roman"/>
          <w:bCs/>
          <w:sz w:val="24"/>
          <w:szCs w:val="24"/>
        </w:rPr>
      </w:pPr>
      <w:r>
        <w:rPr>
          <w:rFonts w:cs="Times New Roman" w:ascii="Times New Roman" w:hAnsi="Times New Roman"/>
          <w:bCs/>
          <w:sz w:val="24"/>
          <w:szCs w:val="24"/>
        </w:rPr>
        <w:t>DETERMINAÇÃO DA CINÉTICA DE CRISTALIZAÇÃO EM PÓS FLUXANTES LIVRE DE FLÚOR EM CONDIÇÕES ISOTÉRMICAS</w:t>
      </w:r>
    </w:p>
    <w:p>
      <w:pPr>
        <w:pStyle w:val="Corpodetexto"/>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rPr>
        <w:t xml:space="preserve">Dissertação apresentada ao Programa de Pós-Graduação em Engenharia e Ciência de Materiais da Universidade Federal do Ceará, como requisito parcial à obtenção do título de mestre em Engenharia e Ciência de Materiais. </w:t>
      </w:r>
      <w:r>
        <w:rPr>
          <w:rFonts w:cs="Times New Roman" w:ascii="Times New Roman" w:hAnsi="Times New Roman"/>
          <w:sz w:val="24"/>
          <w:szCs w:val="24"/>
        </w:rPr>
        <w:t>Área de Concentração: Processos de transformação e degradação de materiais.</w:t>
      </w:r>
    </w:p>
    <w:p>
      <w:pPr>
        <w:pStyle w:val="Corpodetexto"/>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before="0" w:after="0"/>
        <w:rPr>
          <w:rFonts w:ascii="Times New Roman" w:hAnsi="Times New Roman" w:cs="Times New Roman"/>
          <w:sz w:val="24"/>
        </w:rPr>
      </w:pPr>
      <w:r>
        <w:rPr>
          <w:rFonts w:cs="Times New Roman" w:ascii="Times New Roman" w:hAnsi="Times New Roman"/>
          <w:sz w:val="24"/>
        </w:rPr>
      </w:r>
    </w:p>
    <w:p>
      <w:pPr>
        <w:pStyle w:val="Corpodetexto"/>
        <w:spacing w:before="0" w:after="0"/>
        <w:rPr>
          <w:rFonts w:ascii="Times New Roman" w:hAnsi="Times New Roman" w:cs="Times New Roman"/>
          <w:sz w:val="24"/>
        </w:rPr>
      </w:pPr>
      <w:r>
        <w:rPr>
          <w:rFonts w:cs="Times New Roman" w:ascii="Times New Roman" w:hAnsi="Times New Roman"/>
          <w:sz w:val="24"/>
        </w:rPr>
        <w:t>Aprovada em: 23 / 05 / 2024</w:t>
      </w:r>
    </w:p>
    <w:p>
      <w:pPr>
        <w:pStyle w:val="Corpodetexto"/>
        <w:spacing w:before="0" w:after="0"/>
        <w:rPr>
          <w:rFonts w:ascii="Times New Roman" w:hAnsi="Times New Roman" w:cs="Times New Roman"/>
        </w:rPr>
      </w:pPr>
      <w:r>
        <w:rPr>
          <w:rFonts w:cs="Times New Roman" w:ascii="Times New Roman" w:hAnsi="Times New Roman"/>
        </w:rPr>
      </w:r>
    </w:p>
    <w:p>
      <w:pPr>
        <w:pStyle w:val="Corpodetexto"/>
        <w:spacing w:before="0" w:after="0"/>
        <w:jc w:val="center"/>
        <w:rPr>
          <w:rFonts w:ascii="Times New Roman" w:hAnsi="Times New Roman" w:cs="Times New Roman"/>
        </w:rPr>
      </w:pPr>
      <w:r>
        <w:rPr>
          <w:rFonts w:cs="Times New Roman" w:ascii="Times New Roman" w:hAnsi="Times New Roman"/>
        </w:rPr>
        <w:t>BANCA EXAMINADORA</w:t>
      </w:r>
    </w:p>
    <w:p>
      <w:pPr>
        <w:pStyle w:val="Corpodetexto"/>
        <w:spacing w:before="0" w:after="0"/>
        <w:jc w:val="center"/>
        <w:rPr>
          <w:rFonts w:ascii="Times New Roman" w:hAnsi="Times New Roman" w:cs="Times New Roman"/>
        </w:rPr>
      </w:pPr>
      <w:r>
        <w:rPr>
          <w:rFonts w:cs="Times New Roman" w:ascii="Times New Roman" w:hAnsi="Times New Roman"/>
        </w:rPr>
      </w:r>
    </w:p>
    <w:p>
      <w:pPr>
        <w:pStyle w:val="Corpodetexto"/>
        <w:spacing w:before="0" w:after="0"/>
        <w:jc w:val="center"/>
        <w:rPr>
          <w:rFonts w:ascii="Times New Roman" w:hAnsi="Times New Roman" w:cs="Times New Roman"/>
        </w:rPr>
      </w:pPr>
      <w:r>
        <w:rPr>
          <w:rFonts w:cs="Times New Roman" w:ascii="Times New Roman" w:hAnsi="Times New Roman"/>
        </w:rPr>
      </w:r>
    </w:p>
    <w:p>
      <w:pPr>
        <w:pStyle w:val="Corpodetexto"/>
        <w:spacing w:lineRule="auto" w:line="240" w:before="0" w:after="0"/>
        <w:jc w:val="center"/>
        <w:rPr>
          <w:rFonts w:ascii="Times New Roman" w:hAnsi="Times New Roman" w:cs="Times New Roman"/>
        </w:rPr>
      </w:pPr>
      <w:r>
        <w:rPr>
          <w:rFonts w:cs="Times New Roman" w:ascii="Times New Roman" w:hAnsi="Times New Roman"/>
        </w:rPr>
        <w:t>_________________________________________</w:t>
      </w:r>
    </w:p>
    <w:p>
      <w:pPr>
        <w:pStyle w:val="Corpodetexto"/>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Prof. Dr.-Ing. Jeferson Leandro Klug (Orientador)</w:t>
      </w:r>
    </w:p>
    <w:p>
      <w:pPr>
        <w:pStyle w:val="Corpodetexto"/>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Universidade Federal do Ceará (UFC)</w:t>
      </w:r>
    </w:p>
    <w:p>
      <w:pPr>
        <w:pStyle w:val="Corpodetexto"/>
        <w:spacing w:lineRule="auto" w:line="240" w:before="0" w:after="0"/>
        <w:jc w:val="center"/>
        <w:rPr>
          <w:rFonts w:ascii="Times New Roman" w:hAnsi="Times New Roman" w:cs="Times New Roman"/>
        </w:rPr>
      </w:pPr>
      <w:r>
        <w:rPr>
          <w:rFonts w:cs="Times New Roman" w:ascii="Times New Roman" w:hAnsi="Times New Roman"/>
        </w:rPr>
      </w:r>
    </w:p>
    <w:p>
      <w:pPr>
        <w:pStyle w:val="Corpodetexto"/>
        <w:spacing w:lineRule="auto" w:line="240" w:before="0" w:after="0"/>
        <w:jc w:val="center"/>
        <w:rPr>
          <w:rFonts w:ascii="Times New Roman" w:hAnsi="Times New Roman" w:cs="Times New Roman"/>
        </w:rPr>
      </w:pPr>
      <w:r>
        <w:rPr>
          <w:rFonts w:cs="Times New Roman" w:ascii="Times New Roman" w:hAnsi="Times New Roman"/>
        </w:rPr>
      </w:r>
    </w:p>
    <w:p>
      <w:pPr>
        <w:pStyle w:val="Corpodetexto"/>
        <w:spacing w:lineRule="auto" w:line="240" w:before="0" w:after="0"/>
        <w:jc w:val="center"/>
        <w:rPr>
          <w:rFonts w:ascii="Times New Roman" w:hAnsi="Times New Roman" w:cs="Times New Roman"/>
        </w:rPr>
      </w:pPr>
      <w:r>
        <w:rPr>
          <w:rFonts w:cs="Times New Roman" w:ascii="Times New Roman" w:hAnsi="Times New Roman"/>
        </w:rPr>
        <w:t>_________________________________________</w:t>
      </w:r>
    </w:p>
    <w:p>
      <w:pPr>
        <w:pStyle w:val="Corpodetexto"/>
        <w:spacing w:lineRule="auto" w:line="240" w:before="0" w:after="0"/>
        <w:jc w:val="center"/>
        <w:rPr>
          <w:rFonts w:ascii="Times New Roman" w:hAnsi="Times New Roman" w:cs="Times New Roman"/>
        </w:rPr>
      </w:pPr>
      <w:r>
        <w:rPr>
          <w:rFonts w:cs="Times New Roman" w:ascii="Times New Roman" w:hAnsi="Times New Roman"/>
        </w:rPr>
        <w:t>Prof. Dr. Ricardo Emílio F. Quevedo Nogueira</w:t>
      </w:r>
    </w:p>
    <w:p>
      <w:pPr>
        <w:pStyle w:val="Corpodetexto"/>
        <w:spacing w:lineRule="auto" w:line="240" w:before="0" w:after="0"/>
        <w:jc w:val="center"/>
        <w:rPr>
          <w:rFonts w:ascii="Times New Roman" w:hAnsi="Times New Roman" w:cs="Times New Roman"/>
        </w:rPr>
      </w:pPr>
      <w:r>
        <w:rPr>
          <w:rFonts w:cs="Times New Roman" w:ascii="Times New Roman" w:hAnsi="Times New Roman"/>
        </w:rPr>
        <w:t>Universidade Federal do Ceará (UFC)</w:t>
      </w:r>
    </w:p>
    <w:p>
      <w:pPr>
        <w:pStyle w:val="Corpodetexto"/>
        <w:spacing w:lineRule="auto" w:line="240" w:before="0" w:after="0"/>
        <w:jc w:val="center"/>
        <w:rPr>
          <w:rFonts w:ascii="Times New Roman" w:hAnsi="Times New Roman" w:cs="Times New Roman"/>
        </w:rPr>
      </w:pPr>
      <w:r>
        <w:rPr>
          <w:rFonts w:cs="Times New Roman" w:ascii="Times New Roman" w:hAnsi="Times New Roman"/>
        </w:rPr>
      </w:r>
    </w:p>
    <w:p>
      <w:pPr>
        <w:pStyle w:val="Corpodetexto"/>
        <w:spacing w:lineRule="auto" w:line="240" w:before="0" w:after="0"/>
        <w:jc w:val="center"/>
        <w:rPr>
          <w:rFonts w:ascii="Times New Roman" w:hAnsi="Times New Roman" w:cs="Times New Roman"/>
        </w:rPr>
      </w:pPr>
      <w:r>
        <w:rPr>
          <w:rFonts w:cs="Times New Roman" w:ascii="Times New Roman" w:hAnsi="Times New Roman"/>
        </w:rPr>
      </w:r>
    </w:p>
    <w:p>
      <w:pPr>
        <w:pStyle w:val="Corpodetexto"/>
        <w:spacing w:lineRule="auto" w:line="240" w:before="0" w:after="0"/>
        <w:jc w:val="center"/>
        <w:rPr>
          <w:rFonts w:ascii="Times New Roman" w:hAnsi="Times New Roman" w:cs="Times New Roman"/>
        </w:rPr>
      </w:pPr>
      <w:r>
        <w:rPr>
          <w:rFonts w:cs="Times New Roman" w:ascii="Times New Roman" w:hAnsi="Times New Roman"/>
        </w:rPr>
        <w:t>_________________________________________</w:t>
      </w:r>
    </w:p>
    <w:p>
      <w:pPr>
        <w:pStyle w:val="Corpodetexto"/>
        <w:snapToGrid w:val="false"/>
        <w:spacing w:lineRule="auto" w:line="240" w:before="0" w:after="0"/>
        <w:jc w:val="center"/>
        <w:rPr>
          <w:rFonts w:ascii="Times New Roman" w:hAnsi="Times New Roman" w:cs="Times New Roman"/>
        </w:rPr>
      </w:pPr>
      <w:r>
        <w:rPr>
          <w:rFonts w:cs="Times New Roman" w:ascii="Times New Roman" w:hAnsi="Times New Roman"/>
        </w:rPr>
        <w:t>Prof. Dr. Francisco José dos Santos Oliveira</w:t>
      </w:r>
    </w:p>
    <w:p>
      <w:pPr>
        <w:pStyle w:val="Corpodetexto"/>
        <w:spacing w:lineRule="auto" w:line="240" w:before="0" w:after="0"/>
        <w:jc w:val="center"/>
        <w:rPr>
          <w:rFonts w:ascii="Times New Roman" w:hAnsi="Times New Roman" w:cs="Times New Roman"/>
        </w:rPr>
      </w:pPr>
      <w:r>
        <w:rPr>
          <w:rFonts w:cs="Times New Roman" w:ascii="Times New Roman" w:hAnsi="Times New Roman"/>
        </w:rPr>
        <w:t>Instituto Federal do Ceará (IFCE)</w:t>
      </w:r>
    </w:p>
    <w:p>
      <w:pPr>
        <w:pStyle w:val="Corpodetexto"/>
        <w:spacing w:lineRule="auto" w:line="240" w:before="0" w:after="0"/>
        <w:jc w:val="center"/>
        <w:rPr>
          <w:rFonts w:ascii="Times New Roman" w:hAnsi="Times New Roman" w:cs="Times New Roman"/>
        </w:rPr>
      </w:pPr>
      <w:r>
        <w:rPr>
          <w:rFonts w:cs="Times New Roman" w:ascii="Times New Roman" w:hAnsi="Times New Roman"/>
        </w:rPr>
      </w:r>
    </w:p>
    <w:p>
      <w:pPr>
        <w:pStyle w:val="Corpodetexto"/>
        <w:spacing w:lineRule="auto" w:line="240" w:before="0" w:after="0"/>
        <w:jc w:val="center"/>
        <w:rPr>
          <w:rFonts w:ascii="Times New Roman" w:hAnsi="Times New Roman" w:cs="Times New Roman"/>
        </w:rPr>
      </w:pPr>
      <w:r>
        <w:rPr>
          <w:rFonts w:cs="Times New Roman" w:ascii="Times New Roman" w:hAnsi="Times New Roman"/>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4536" w:hanging="0"/>
        <w:jc w:val="both"/>
        <w:rPr>
          <w:rFonts w:ascii="Times New Roman" w:hAnsi="Times New Roman" w:cs="Times New Roman"/>
          <w:sz w:val="28"/>
          <w:szCs w:val="24"/>
        </w:rPr>
      </w:pPr>
      <w:r>
        <w:rPr>
          <w:rFonts w:cs="Times New Roman" w:ascii="Times New Roman" w:hAnsi="Times New Roman"/>
          <w:color w:val="000000"/>
          <w:sz w:val="24"/>
          <w:szCs w:val="23"/>
        </w:rPr>
        <w:t>A Deus e a todos que contribuíram para a obtenção deste título.</w:t>
      </w:r>
    </w:p>
    <w:p>
      <w:pPr>
        <w:pStyle w:val="Normal"/>
        <w:spacing w:lineRule="auto" w:line="360" w:before="0" w:after="0"/>
        <w:rPr>
          <w:rFonts w:ascii="Times New Roman" w:hAnsi="Times New Roman" w:cs="Times New Roman"/>
          <w:b/>
          <w:b/>
          <w:bCs/>
          <w:color w:val="000000"/>
          <w:sz w:val="23"/>
          <w:szCs w:val="23"/>
        </w:rPr>
      </w:pPr>
      <w:r>
        <w:rPr>
          <w:rFonts w:cs="Times New Roman" w:ascii="Times New Roman" w:hAnsi="Times New Roman"/>
          <w:b/>
          <w:bCs/>
          <w:color w:val="000000"/>
          <w:sz w:val="23"/>
          <w:szCs w:val="23"/>
        </w:rPr>
      </w:r>
    </w:p>
    <w:p>
      <w:pPr>
        <w:pStyle w:val="Normal"/>
        <w:spacing w:lineRule="auto" w:line="360" w:before="0" w:after="0"/>
        <w:rPr>
          <w:rFonts w:ascii="Times New Roman" w:hAnsi="Times New Roman" w:cs="Times New Roman"/>
          <w:b/>
          <w:b/>
          <w:bCs/>
          <w:color w:val="000000"/>
          <w:sz w:val="23"/>
          <w:szCs w:val="23"/>
        </w:rPr>
      </w:pPr>
      <w:r>
        <w:rPr>
          <w:rFonts w:cs="Times New Roman" w:ascii="Times New Roman" w:hAnsi="Times New Roman"/>
          <w:b/>
          <w:bCs/>
          <w:color w:val="000000"/>
          <w:sz w:val="23"/>
          <w:szCs w:val="23"/>
        </w:rPr>
      </w:r>
    </w:p>
    <w:p>
      <w:pPr>
        <w:pStyle w:val="Normal"/>
        <w:spacing w:lineRule="auto" w:line="360" w:before="0" w:after="0"/>
        <w:rPr>
          <w:rFonts w:ascii="Times New Roman" w:hAnsi="Times New Roman" w:cs="Times New Roman"/>
          <w:b/>
          <w:b/>
          <w:bCs/>
          <w:color w:val="000000"/>
          <w:sz w:val="23"/>
          <w:szCs w:val="23"/>
        </w:rPr>
      </w:pPr>
      <w:r>
        <w:rPr>
          <w:rFonts w:cs="Times New Roman" w:ascii="Times New Roman" w:hAnsi="Times New Roman"/>
          <w:b/>
          <w:bCs/>
          <w:color w:val="000000"/>
          <w:sz w:val="23"/>
          <w:szCs w:val="23"/>
        </w:rPr>
      </w:r>
    </w:p>
    <w:p>
      <w:pPr>
        <w:pStyle w:val="Normal"/>
        <w:spacing w:lineRule="auto" w:line="360" w:before="0" w:after="0"/>
        <w:rPr>
          <w:rFonts w:ascii="Times New Roman" w:hAnsi="Times New Roman" w:cs="Times New Roman"/>
          <w:b/>
          <w:b/>
          <w:bCs/>
          <w:color w:val="000000"/>
          <w:sz w:val="23"/>
          <w:szCs w:val="23"/>
        </w:rPr>
      </w:pPr>
      <w:r>
        <w:rPr>
          <w:rFonts w:cs="Times New Roman" w:ascii="Times New Roman" w:hAnsi="Times New Roman"/>
          <w:b/>
          <w:bCs/>
          <w:color w:val="000000"/>
          <w:sz w:val="23"/>
          <w:szCs w:val="23"/>
        </w:rPr>
      </w:r>
    </w:p>
    <w:p>
      <w:pPr>
        <w:pStyle w:val="Normal"/>
        <w:spacing w:lineRule="auto" w:line="360" w:before="0" w:after="0"/>
        <w:rPr>
          <w:rFonts w:ascii="Times New Roman" w:hAnsi="Times New Roman" w:cs="Times New Roman"/>
          <w:b/>
          <w:b/>
          <w:bCs/>
          <w:color w:val="000000"/>
          <w:sz w:val="23"/>
          <w:szCs w:val="23"/>
        </w:rPr>
      </w:pPr>
      <w:r>
        <w:rPr>
          <w:rFonts w:cs="Times New Roman" w:ascii="Times New Roman" w:hAnsi="Times New Roman"/>
          <w:b/>
          <w:bCs/>
          <w:color w:val="000000"/>
          <w:sz w:val="23"/>
          <w:szCs w:val="23"/>
        </w:rPr>
      </w:r>
    </w:p>
    <w:p>
      <w:pPr>
        <w:pStyle w:val="Normal"/>
        <w:spacing w:lineRule="auto" w:line="360" w:before="0" w:after="0"/>
        <w:rPr>
          <w:rFonts w:ascii="Times New Roman" w:hAnsi="Times New Roman" w:cs="Times New Roman"/>
          <w:b/>
          <w:b/>
          <w:bCs/>
          <w:color w:val="000000"/>
          <w:sz w:val="23"/>
          <w:szCs w:val="23"/>
        </w:rPr>
      </w:pPr>
      <w:r>
        <w:rPr>
          <w:rFonts w:cs="Times New Roman" w:ascii="Times New Roman" w:hAnsi="Times New Roman"/>
          <w:b/>
          <w:bCs/>
          <w:color w:val="000000"/>
          <w:sz w:val="23"/>
          <w:szCs w:val="23"/>
        </w:rPr>
      </w:r>
    </w:p>
    <w:p>
      <w:pPr>
        <w:pStyle w:val="Normal"/>
        <w:spacing w:lineRule="auto" w:line="360" w:before="0" w:after="0"/>
        <w:jc w:val="center"/>
        <w:rPr>
          <w:rFonts w:ascii="Times New Roman" w:hAnsi="Times New Roman" w:cs="Times New Roman"/>
          <w:b/>
          <w:b/>
          <w:bCs/>
          <w:sz w:val="24"/>
          <w:szCs w:val="23"/>
        </w:rPr>
      </w:pPr>
      <w:r>
        <w:rPr>
          <w:rFonts w:cs="Times New Roman" w:ascii="Times New Roman" w:hAnsi="Times New Roman"/>
          <w:b/>
          <w:bCs/>
          <w:sz w:val="24"/>
          <w:szCs w:val="23"/>
        </w:rPr>
        <w:t>AGRADECIMENTOS</w:t>
      </w:r>
    </w:p>
    <w:p>
      <w:pPr>
        <w:pStyle w:val="Normal"/>
        <w:spacing w:lineRule="auto" w:line="36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360" w:before="0" w:after="0"/>
        <w:jc w:val="both"/>
        <w:rPr>
          <w:rFonts w:ascii="Times New Roman" w:hAnsi="Times New Roman" w:cs="Times New Roman"/>
          <w:color w:val="FF0000"/>
          <w:sz w:val="24"/>
          <w:szCs w:val="24"/>
        </w:rPr>
      </w:pPr>
      <w:r>
        <w:rPr>
          <w:rFonts w:cs="Times New Roman" w:ascii="Times New Roman" w:hAnsi="Times New Roman"/>
          <w:color w:val="000000"/>
          <w:sz w:val="24"/>
          <w:szCs w:val="24"/>
        </w:rPr>
        <w:tab/>
        <w:t>Agradeço a Deu</w:t>
      </w:r>
      <w:r>
        <w:rPr>
          <w:rFonts w:cs="Times New Roman" w:ascii="Times New Roman" w:hAnsi="Times New Roman"/>
          <w:sz w:val="24"/>
          <w:szCs w:val="24"/>
        </w:rPr>
        <w:t>s, ao programa de Pós-Graduação em Engenharia e Ciências de Materiais, ao Prof. Dr.-Ing. Jeferson Klug e ao servidor Me. Samuel Medeiros em suas orientações, ao Coordenador Prof. Dr. Walney Araújo pelo seu envolvimento, aos professores doutores Ricardo Emílio F. Quevedo Nogueira e Francisco José dos Santos Oliveira que prontamente aceitaram ao convite de compor a banca, aos familiares, aos amigos e a todos que me apoiaram durante o mestrado.</w:t>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240" w:before="0" w:after="0"/>
        <w:ind w:firstLine="708"/>
        <w:jc w:val="both"/>
        <w:rPr>
          <w:rFonts w:ascii="Times New Roman" w:hAnsi="Times New Roman" w:cs="Times New Roman"/>
          <w:color w:val="000000"/>
          <w:sz w:val="23"/>
          <w:szCs w:val="23"/>
        </w:rPr>
      </w:pPr>
      <w:r>
        <w:rPr>
          <w:rFonts w:cs="Times New Roman" w:ascii="Times New Roman" w:hAnsi="Times New Roman"/>
          <w:color w:val="000000"/>
          <w:sz w:val="23"/>
          <w:szCs w:val="23"/>
        </w:rPr>
      </w:r>
    </w:p>
    <w:p>
      <w:pPr>
        <w:pStyle w:val="Normal"/>
        <w:spacing w:lineRule="auto" w:line="360" w:before="0" w:after="0"/>
        <w:ind w:left="4536" w:hanging="0"/>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Pouco conhecimento faz com que as pessoas se sintam orgulhosas. Muito conhecimento, com que se sintam humildes.”</w:t>
      </w:r>
    </w:p>
    <w:p>
      <w:pPr>
        <w:pStyle w:val="Normal"/>
        <w:spacing w:lineRule="auto" w:line="360" w:before="0" w:after="0"/>
        <w:ind w:left="4536" w:hanging="0"/>
        <w:jc w:val="right"/>
        <w:rPr/>
      </w:pPr>
      <w:hyperlink r:id="rId3" w:tgtFrame="_blank">
        <w:r>
          <w:rPr>
            <w:rStyle w:val="LinkdaInternet"/>
            <w:rFonts w:cs="Times New Roman" w:ascii="Times New Roman" w:hAnsi="Times New Roman"/>
            <w:bCs/>
            <w:color w:val="auto"/>
            <w:sz w:val="24"/>
            <w:szCs w:val="24"/>
            <w:highlight w:val="white"/>
            <w:u w:val="none"/>
          </w:rPr>
          <w:t>Leonardo da Vinci</w:t>
        </w:r>
      </w:hyperlink>
      <w:r>
        <w:br w:type="page"/>
      </w:r>
    </w:p>
    <w:p>
      <w:pPr>
        <w:pStyle w:val="Corpodetexto"/>
        <w:spacing w:lineRule="auto" w:line="360" w:before="0" w:after="0"/>
        <w:jc w:val="center"/>
        <w:rPr>
          <w:rFonts w:ascii="Times New Roman" w:hAnsi="Times New Roman" w:cs="Times New Roman"/>
          <w:b/>
          <w:b/>
          <w:bCs/>
          <w:sz w:val="24"/>
          <w:szCs w:val="24"/>
        </w:rPr>
      </w:pPr>
      <w:r>
        <mc:AlternateContent>
          <mc:Choice Requires="wps">
            <w:drawing>
              <wp:anchor behindDoc="0" distT="0" distB="0" distL="114300" distR="114300" simplePos="0" locked="0" layoutInCell="1" allowOverlap="1" relativeHeight="119" wp14:anchorId="4D3E1599">
                <wp:simplePos x="0" y="0"/>
                <wp:positionH relativeFrom="column">
                  <wp:posOffset>5556885</wp:posOffset>
                </wp:positionH>
                <wp:positionV relativeFrom="paragraph">
                  <wp:posOffset>-716915</wp:posOffset>
                </wp:positionV>
                <wp:extent cx="489585" cy="426085"/>
                <wp:effectExtent l="0" t="0" r="26035" b="12700"/>
                <wp:wrapNone/>
                <wp:docPr id="4" name="Elipse 36"/>
                <a:graphic xmlns:a="http://schemas.openxmlformats.org/drawingml/2006/main">
                  <a:graphicData uri="http://schemas.microsoft.com/office/word/2010/wordprocessingShape">
                    <wps:wsp>
                      <wps:cNvSpPr/>
                      <wps:spPr>
                        <a:xfrm>
                          <a:off x="0" y="0"/>
                          <a:ext cx="488880" cy="4255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ipse 36" fillcolor="white" stroked="t" style="position:absolute;margin-left:437.55pt;margin-top:-56.45pt;width:38.45pt;height:33.45pt" wp14:anchorId="4D3E1599">
                <w10:wrap type="none"/>
                <v:fill o:detectmouseclick="t" type="solid" color2="black"/>
                <v:stroke color="white" weight="12600" joinstyle="miter" endcap="flat"/>
              </v:oval>
            </w:pict>
          </mc:Fallback>
        </mc:AlternateContent>
      </w:r>
      <w:r>
        <w:rPr>
          <w:rFonts w:cs="Times New Roman" w:ascii="Times New Roman" w:hAnsi="Times New Roman"/>
          <w:b/>
          <w:bCs/>
          <w:sz w:val="24"/>
          <w:szCs w:val="24"/>
        </w:rPr>
        <w:t>RESUMO</w:t>
      </w:r>
    </w:p>
    <w:p>
      <w:pPr>
        <w:pStyle w:val="Corpodetexto"/>
        <w:spacing w:lineRule="auto" w:line="36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360"/>
        <w:jc w:val="both"/>
        <w:rPr>
          <w:rFonts w:ascii="Times New Roman" w:hAnsi="Times New Roman" w:cs="Times New Roman"/>
          <w:sz w:val="24"/>
        </w:rPr>
      </w:pPr>
      <w:r>
        <w:rPr>
          <w:rFonts w:cs="Times New Roman" w:ascii="Times New Roman" w:hAnsi="Times New Roman"/>
          <w:sz w:val="24"/>
        </w:rPr>
        <w:t xml:space="preserve">No lingotamento contínuo do aço, a escolha do pó fluxante é decisiva para a lubrificação e controle de transferência de calor no molde. Defeitos como trincas longitudinais e </w:t>
      </w:r>
      <w:r>
        <w:rPr>
          <w:rFonts w:cs="Times New Roman" w:ascii="Times New Roman" w:hAnsi="Times New Roman"/>
          <w:i/>
          <w:sz w:val="24"/>
        </w:rPr>
        <w:t>breakouts</w:t>
      </w:r>
      <w:r>
        <w:rPr>
          <w:rFonts w:cs="Times New Roman" w:ascii="Times New Roman" w:hAnsi="Times New Roman"/>
          <w:sz w:val="24"/>
        </w:rPr>
        <w:t xml:space="preserve"> (ruptura da casca sólida do aço em formação) ocorrem devido ao elevado ou insuficiente fluxo de calor existente entre o molde e o aço fundido. O uso do fluoreto de cálcio (CaF</w:t>
      </w:r>
      <w:r>
        <w:rPr>
          <w:rFonts w:cs="Times New Roman" w:ascii="Times New Roman" w:hAnsi="Times New Roman"/>
          <w:sz w:val="24"/>
          <w:vertAlign w:val="subscript"/>
        </w:rPr>
        <w:t>2</w:t>
      </w:r>
      <w:r>
        <w:rPr>
          <w:rFonts w:cs="Times New Roman" w:ascii="Times New Roman" w:hAnsi="Times New Roman"/>
          <w:sz w:val="24"/>
        </w:rPr>
        <w:t>) na produção de pós fluxantes apresenta vantagens relacionadas a um processo estável de lingotamento contínuo e à produção de aços isentos de defeitos.</w:t>
      </w:r>
      <w:r>
        <w:rPr/>
        <w:t xml:space="preserve"> </w:t>
      </w:r>
      <w:r>
        <w:rPr>
          <w:rFonts w:cs="Times New Roman" w:ascii="Times New Roman" w:hAnsi="Times New Roman"/>
          <w:sz w:val="24"/>
          <w:szCs w:val="24"/>
        </w:rPr>
        <w:t xml:space="preserve">Emissões gasosas de flúor </w:t>
      </w:r>
      <w:r>
        <w:rPr>
          <w:rFonts w:cs="Times New Roman" w:ascii="Times New Roman" w:hAnsi="Times New Roman"/>
          <w:sz w:val="24"/>
        </w:rPr>
        <w:t xml:space="preserve">(proveniente do fluoreto </w:t>
      </w:r>
      <w:r>
        <w:rPr>
          <w:rFonts w:cs="Times New Roman" w:ascii="Times New Roman" w:hAnsi="Times New Roman"/>
          <w:sz w:val="24"/>
          <w:szCs w:val="24"/>
        </w:rPr>
        <w:t xml:space="preserve">de cálcio) poluem o ar do ambiente e representam um risco potencial para a saúde e segurança dos operadores da fábrica. </w:t>
      </w:r>
      <w:r>
        <w:rPr>
          <w:rFonts w:cs="Times New Roman" w:ascii="Times New Roman" w:hAnsi="Times New Roman"/>
          <w:sz w:val="24"/>
        </w:rPr>
        <w:t>Em contato com a água de resfriamento, geram ácido fluorídrico (HF) provocando problema para armazenamento e utilização de resíduos sólidos.</w:t>
      </w:r>
      <w:r>
        <w:rPr/>
        <w:t xml:space="preserve"> </w:t>
      </w:r>
      <w:r>
        <w:rPr>
          <w:rFonts w:cs="Times New Roman" w:ascii="Times New Roman" w:hAnsi="Times New Roman"/>
          <w:sz w:val="24"/>
        </w:rPr>
        <w:t xml:space="preserve">Em máquinas de lingotamento contínuo, o flúor pode se acumular na água de resfriamento secundário, levando a uma redução do valor de pH. Em tal meio, os componentes da planta e do equipamento são suscetíveis ao desgaste. O ácido fluorídrico, que é gerado durante o processo de vazamento contínuo do pó do molde, aumenta drasticamente a taxa de corrosão, especialmente na parte inferior, onde há uma alta quantidade de água que acelera o processo de </w:t>
      </w:r>
      <w:r>
        <w:rPr>
          <w:rFonts w:cs="Times New Roman" w:ascii="Times New Roman" w:hAnsi="Times New Roman"/>
          <w:sz w:val="24"/>
          <w:szCs w:val="24"/>
        </w:rPr>
        <w:t>corrosão trazendo prejuízo econômico significativo no equipamento.</w:t>
      </w:r>
      <w:r>
        <w:rPr>
          <w:rFonts w:cs="Times New Roman" w:ascii="Times New Roman" w:hAnsi="Times New Roman"/>
          <w:sz w:val="28"/>
        </w:rPr>
        <w:t xml:space="preserve"> </w:t>
      </w:r>
      <w:r>
        <w:rPr>
          <w:rFonts w:cs="Times New Roman" w:ascii="Times New Roman" w:hAnsi="Times New Roman"/>
          <w:sz w:val="24"/>
        </w:rPr>
        <w:t>Com isso, cada vez mais, as usinas siderúrgicas vêm sendo forçadas a minimizar a emissão de poluentes como o flúor. Nesse trabalho, foi realizado o estudo cinético de cristalização de uma amostra de pó fluxante, produzida em laboratório livre de flúor, que foi chamada de pó fluxante A. A análise térmica por calorimetria exploratória diferencial (DSC), que mede o fluxo de calor em função do tempo a uma temperatura constante, permite analisar a cinética de cristalização do pó fluxante no molde durante o processo de lingotamento contínuo. O processo de cristalização libera calor, formando um pico exotérmico na curva térmica da DSC. A taxa de liberação de calor é proporcional à taxa de cristalização, possibilitando obter o grau relativo de cristalinidade pela relação entre a área parcial e a área total do pico exotérmico de cristalização. Os parâmetros cinéticos calculados para pó fluxante A foram comparados com os de pós fluxantes contendo flúor disponíveis na literatura. Os valores encontrados indicam que o pó fluxante A é propício a substituir pós fluxantes com flúor.</w:t>
      </w:r>
    </w:p>
    <w:p>
      <w:pPr>
        <w:pStyle w:val="Corpodetexto"/>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Corpodetexto"/>
        <w:spacing w:lineRule="auto" w:line="360" w:before="0" w:after="0"/>
        <w:jc w:val="both"/>
        <w:rPr>
          <w:rFonts w:ascii="Times New Roman" w:hAnsi="Times New Roman" w:cs="Times New Roman"/>
          <w:sz w:val="24"/>
          <w:szCs w:val="24"/>
        </w:rPr>
      </w:pPr>
      <w:r>
        <w:rPr>
          <w:rFonts w:cs="Times New Roman" w:ascii="Times New Roman" w:hAnsi="Times New Roman"/>
          <w:b/>
          <w:sz w:val="24"/>
          <w:szCs w:val="24"/>
        </w:rPr>
        <w:t>Palavras-chave</w:t>
      </w:r>
      <w:r>
        <w:rPr>
          <w:rFonts w:cs="Times New Roman" w:ascii="Times New Roman" w:hAnsi="Times New Roman"/>
          <w:sz w:val="24"/>
          <w:szCs w:val="24"/>
        </w:rPr>
        <w:t>: lingotamento contínuo; pó fluxante; cristalização.</w:t>
      </w:r>
    </w:p>
    <w:p>
      <w:pPr>
        <w:pStyle w:val="Corpodetexto"/>
        <w:spacing w:lineRule="auto" w:line="360" w:before="0" w:after="0"/>
        <w:jc w:val="center"/>
        <w:rPr>
          <w:rFonts w:ascii="Times New Roman" w:hAnsi="Times New Roman" w:cs="Times New Roman"/>
          <w:b/>
          <w:b/>
          <w:color w:val="FF0000"/>
          <w:sz w:val="24"/>
          <w:szCs w:val="24"/>
        </w:rPr>
      </w:pPr>
      <w:r>
        <w:rPr>
          <w:rFonts w:cs="Times New Roman" w:ascii="Times New Roman" w:hAnsi="Times New Roman"/>
          <w:b/>
          <w:color w:val="FF0000"/>
          <w:sz w:val="24"/>
          <w:szCs w:val="24"/>
        </w:rPr>
      </w:r>
    </w:p>
    <w:p>
      <w:pPr>
        <w:pStyle w:val="Corpodetexto"/>
        <w:spacing w:lineRule="auto" w:line="360" w:before="0" w:after="0"/>
        <w:jc w:val="center"/>
        <w:rPr>
          <w:rFonts w:ascii="Times New Roman" w:hAnsi="Times New Roman" w:cs="Times New Roman"/>
          <w:b/>
          <w:b/>
          <w:color w:val="FF0000"/>
          <w:sz w:val="24"/>
          <w:szCs w:val="24"/>
        </w:rPr>
      </w:pPr>
      <w:r>
        <w:rPr>
          <w:rFonts w:cs="Times New Roman" w:ascii="Times New Roman" w:hAnsi="Times New Roman"/>
          <w:b/>
          <w:color w:val="FF0000"/>
          <w:sz w:val="24"/>
          <w:szCs w:val="24"/>
        </w:rPr>
      </w:r>
    </w:p>
    <w:p>
      <w:pPr>
        <w:pStyle w:val="Corpodetexto"/>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ABSTRACT</w:t>
      </w:r>
    </w:p>
    <w:p>
      <w:pPr>
        <w:pStyle w:val="Corpodetexto"/>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In continuous steel casting the choice of mold fluxer is decisive for lubrication and heat transfer control in the mold. Defects such as longitudinal cracks and breakouts (rupture of the solid shell of the steel being formed) occur due to the high or insufficient heat flow between the mold and molten steel. The use of calcium fluoride (CaF</w:t>
      </w:r>
      <w:r>
        <w:rPr>
          <w:rFonts w:cs="Times New Roman" w:ascii="Times New Roman" w:hAnsi="Times New Roman"/>
          <w:sz w:val="24"/>
          <w:szCs w:val="24"/>
          <w:vertAlign w:val="subscript"/>
        </w:rPr>
        <w:t>2</w:t>
      </w:r>
      <w:r>
        <w:rPr>
          <w:rFonts w:cs="Times New Roman" w:ascii="Times New Roman" w:hAnsi="Times New Roman"/>
          <w:sz w:val="24"/>
          <w:szCs w:val="24"/>
        </w:rPr>
        <w:t>) in the production of mold fluxers presents advantages related to a stable continuous casting process and the production of steels free from defects. Gaseous fluoride emissions (from calcium fluoride) pollute the ambient air and represent a potential risk to the health and safety of factory operators. In contact with the cooling water, they generate hydrofluoric acid (HF), causing problems for the storage and use of solid waste. In continuous casting machines, fluoride can accumulate in the secondary cooling water, leading to a reduction in the pH value. In such an environment, plant and equipment components are susceptible to wear and tear. Hydrofluoric acid, which is generated during the process of continuous casting of mold fluxer, drastically increases the rate of corrosion, especially in the lower part, where there is a high amount of water that accelerates the corrosion process, causing significant economic damage to the equipment. As a result, steel plants are increasingly being forced to minimize the emission of pollutants such as fluoride. In this work, a kinetic study of the crystallization of a sample of fluxing powder, produced in a fluorine-free laboratory, was carried out, which was called mold fluxer A. The thermal analysis by differential scanning calorimetry (DSC), which measures the heat flow as a function of time at a constant temperature, it allows analyzing the crystallization kinetics of the mold fluxer in the mold during the continuous casting process. The crystallization process releases heat, forming an exothermic peak in the DSC thermal curve. The heat release rate is proportional to the crystallization rate, making it possible to obtain the relative degree of crystallinity through the relationship between the partial area and the total area of ​​the exothermic crystallization peak. The kinetic parameters calculated of mold fluxer A were compared with those of mold fluxers containing fluorine available in the literature. The values ​​found indicate that mold fluxer A is suitable for replacing mold fluxers with fluorine.</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360" w:before="0" w:after="0"/>
        <w:jc w:val="both"/>
        <w:rPr>
          <w:rFonts w:ascii="Times New Roman" w:hAnsi="Times New Roman" w:cs="Times New Roman"/>
          <w:sz w:val="24"/>
          <w:szCs w:val="24"/>
        </w:rPr>
      </w:pPr>
      <w:r>
        <w:rPr>
          <w:rFonts w:cs="Times New Roman" w:ascii="Times New Roman" w:hAnsi="Times New Roman"/>
          <w:b/>
          <w:sz w:val="24"/>
          <w:szCs w:val="24"/>
        </w:rPr>
        <w:t>Keywords</w:t>
      </w:r>
      <w:r>
        <w:rPr>
          <w:rFonts w:cs="Times New Roman" w:ascii="Times New Roman" w:hAnsi="Times New Roman"/>
          <w:sz w:val="24"/>
          <w:szCs w:val="24"/>
        </w:rPr>
        <w:t>: continuous casting; mold fluxes; crystallization.</w:t>
      </w:r>
    </w:p>
    <w:p>
      <w:pPr>
        <w:pStyle w:val="Corpodetexto"/>
        <w:spacing w:lineRule="auto" w:line="360" w:before="0" w:after="0"/>
        <w:ind w:firstLine="1134"/>
        <w:jc w:val="both"/>
        <w:rPr>
          <w:rFonts w:ascii="Times New Roman" w:hAnsi="Times New Roman" w:cs="Times New Roman"/>
          <w:color w:val="FF0000"/>
          <w:sz w:val="24"/>
          <w:szCs w:val="24"/>
        </w:rPr>
      </w:pPr>
      <w:r>
        <w:rPr>
          <w:rFonts w:cs="Times New Roman" w:ascii="Times New Roman" w:hAnsi="Times New Roman"/>
          <w:color w:val="FF0000"/>
          <w:sz w:val="24"/>
          <w:szCs w:val="24"/>
        </w:rPr>
      </w:r>
      <w:r>
        <w:br w:type="page"/>
      </w:r>
    </w:p>
    <w:p>
      <w:pPr>
        <w:pStyle w:val="Corpodetexto"/>
        <w:spacing w:lineRule="auto" w:line="360" w:before="0" w:after="0"/>
        <w:jc w:val="center"/>
        <w:rPr>
          <w:rFonts w:ascii="Times New Roman" w:hAnsi="Times New Roman" w:cs="Times New Roman"/>
          <w:b/>
          <w:b/>
          <w:color w:val="000000"/>
          <w:sz w:val="24"/>
          <w:szCs w:val="24"/>
        </w:rPr>
      </w:pPr>
      <w:r>
        <mc:AlternateContent>
          <mc:Choice Requires="wps">
            <w:drawing>
              <wp:anchor behindDoc="0" distT="0" distB="0" distL="114300" distR="114300" simplePos="0" locked="0" layoutInCell="1" allowOverlap="1" relativeHeight="120" wp14:anchorId="6F07F055">
                <wp:simplePos x="0" y="0"/>
                <wp:positionH relativeFrom="column">
                  <wp:posOffset>5470525</wp:posOffset>
                </wp:positionH>
                <wp:positionV relativeFrom="paragraph">
                  <wp:posOffset>-756920</wp:posOffset>
                </wp:positionV>
                <wp:extent cx="489585" cy="426085"/>
                <wp:effectExtent l="0" t="0" r="26035" b="12700"/>
                <wp:wrapNone/>
                <wp:docPr id="5" name="Elipse 37"/>
                <a:graphic xmlns:a="http://schemas.openxmlformats.org/drawingml/2006/main">
                  <a:graphicData uri="http://schemas.microsoft.com/office/word/2010/wordprocessingShape">
                    <wps:wsp>
                      <wps:cNvSpPr/>
                      <wps:spPr>
                        <a:xfrm>
                          <a:off x="0" y="0"/>
                          <a:ext cx="488880" cy="4255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ipse 37" fillcolor="white" stroked="t" style="position:absolute;margin-left:430.75pt;margin-top:-59.6pt;width:38.45pt;height:33.45pt" wp14:anchorId="6F07F055">
                <w10:wrap type="none"/>
                <v:fill o:detectmouseclick="t" type="solid" color2="black"/>
                <v:stroke color="white" weight="12600" joinstyle="miter" endcap="flat"/>
              </v:oval>
            </w:pict>
          </mc:Fallback>
        </mc:AlternateContent>
      </w:r>
      <w:r>
        <w:rPr>
          <w:rFonts w:cs="Times New Roman" w:ascii="Times New Roman" w:hAnsi="Times New Roman"/>
          <w:b/>
          <w:color w:val="000000"/>
          <w:sz w:val="24"/>
          <w:szCs w:val="24"/>
        </w:rPr>
        <w:t>LISTA DE FIGURAS</w:t>
      </w:r>
    </w:p>
    <w:p>
      <w:pPr>
        <w:pStyle w:val="Corpodetexto"/>
        <w:spacing w:lineRule="auto" w:line="360" w:before="0" w:after="0"/>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r>
    </w:p>
    <w:tbl>
      <w:tblPr>
        <w:tblStyle w:val="Tabelacomgrade"/>
        <w:tblW w:w="9212" w:type="dxa"/>
        <w:jc w:val="center"/>
        <w:tblInd w:w="0" w:type="dxa"/>
        <w:tblCellMar>
          <w:top w:w="0" w:type="dxa"/>
          <w:left w:w="108" w:type="dxa"/>
          <w:bottom w:w="0" w:type="dxa"/>
          <w:right w:w="108" w:type="dxa"/>
        </w:tblCellMar>
        <w:tblLook w:noVBand="1" w:val="04a0" w:noHBand="0" w:lastColumn="0" w:firstColumn="1" w:lastRow="0" w:firstRow="1"/>
      </w:tblPr>
      <w:tblGrid>
        <w:gridCol w:w="8756"/>
        <w:gridCol w:w="455"/>
      </w:tblGrid>
      <w:tr>
        <w:trPr>
          <w:trHeight w:val="314" w:hRule="atLeast"/>
        </w:trPr>
        <w:tc>
          <w:tcPr>
            <w:tcW w:w="8756" w:type="dxa"/>
            <w:tcBorders>
              <w:top w:val="nil"/>
              <w:left w:val="nil"/>
              <w:bottom w:val="nil"/>
              <w:right w:val="nil"/>
              <w:insideH w:val="nil"/>
              <w:insideV w:val="nil"/>
            </w:tcBorders>
            <w:shd w:fill="auto" w:val="clear"/>
          </w:tcPr>
          <w:p>
            <w:pPr>
              <w:pStyle w:val="Normal"/>
              <w:spacing w:lineRule="auto" w:line="360" w:before="0" w:after="0"/>
              <w:ind w:right="-1" w:hanging="0"/>
              <w:jc w:val="both"/>
              <w:rPr>
                <w:sz w:val="24"/>
                <w:szCs w:val="24"/>
              </w:rPr>
            </w:pPr>
            <w:r>
              <w:rPr>
                <w:rFonts w:eastAsia="SimSun" w:cs="Times New Roman" w:ascii="Times New Roman" w:hAnsi="Times New Roman"/>
                <w:sz w:val="24"/>
                <w:szCs w:val="24"/>
                <w:lang w:eastAsia="pt-BR"/>
              </w:rPr>
              <w:t xml:space="preserve">Figura 1 - Produção brasileira de aço bruto...........................................................................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15</w:t>
            </w:r>
          </w:p>
        </w:tc>
      </w:tr>
      <w:tr>
        <w:trPr/>
        <w:tc>
          <w:tcPr>
            <w:tcW w:w="8756" w:type="dxa"/>
            <w:tcBorders>
              <w:top w:val="nil"/>
              <w:left w:val="nil"/>
              <w:bottom w:val="nil"/>
              <w:right w:val="nil"/>
              <w:insideH w:val="nil"/>
              <w:insideV w:val="nil"/>
            </w:tcBorders>
            <w:shd w:fill="auto" w:val="clear"/>
          </w:tcPr>
          <w:p>
            <w:pPr>
              <w:pStyle w:val="Corpodetexto"/>
              <w:spacing w:lineRule="auto" w:line="360" w:before="0" w:after="0"/>
              <w:ind w:right="-7" w:hanging="0"/>
              <w:rPr>
                <w:rFonts w:eastAsia="Calibri" w:eastAsiaTheme="minorHAnsi"/>
                <w:bCs/>
                <w:color w:val="FF0000"/>
                <w:sz w:val="24"/>
                <w:szCs w:val="24"/>
              </w:rPr>
            </w:pPr>
            <w:r>
              <w:rPr>
                <w:rFonts w:eastAsia="SimSun" w:cs="Times New Roman" w:ascii="Times New Roman" w:hAnsi="Times New Roman"/>
                <w:bCs/>
                <w:sz w:val="24"/>
                <w:szCs w:val="24"/>
                <w:lang w:eastAsia="pt-BR"/>
              </w:rPr>
              <w:t>Figura 2 - Síntese da Produção Siderúrgica Brasileira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16</w:t>
            </w:r>
          </w:p>
        </w:tc>
      </w:tr>
      <w:tr>
        <w:trPr/>
        <w:tc>
          <w:tcPr>
            <w:tcW w:w="8756" w:type="dxa"/>
            <w:tcBorders>
              <w:top w:val="nil"/>
              <w:left w:val="nil"/>
              <w:bottom w:val="nil"/>
              <w:right w:val="nil"/>
              <w:insideH w:val="nil"/>
              <w:insideV w:val="nil"/>
            </w:tcBorders>
            <w:shd w:fill="auto" w:val="clear"/>
          </w:tcPr>
          <w:p>
            <w:pPr>
              <w:pStyle w:val="Corpodetexto"/>
              <w:spacing w:lineRule="auto" w:line="360" w:before="0" w:after="0"/>
              <w:ind w:right="-7" w:hanging="0"/>
              <w:jc w:val="both"/>
              <w:rPr>
                <w:rFonts w:eastAsia="Calibri" w:eastAsiaTheme="minorHAnsi"/>
                <w:bCs/>
                <w:color w:val="FF0000"/>
                <w:sz w:val="24"/>
                <w:szCs w:val="24"/>
              </w:rPr>
            </w:pPr>
            <w:r>
              <w:rPr>
                <w:rFonts w:eastAsia="SimSun" w:cs="Times New Roman" w:ascii="Times New Roman" w:hAnsi="Times New Roman"/>
                <w:sz w:val="24"/>
                <w:szCs w:val="24"/>
                <w:lang w:eastAsia="pt-BR"/>
              </w:rPr>
              <w:t>Figura 3 - Representação esquemática das formas de vazamento nos processos de lingotamento convencional dos aços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19</w:t>
            </w:r>
          </w:p>
        </w:tc>
      </w:tr>
      <w:tr>
        <w:trPr/>
        <w:tc>
          <w:tcPr>
            <w:tcW w:w="8756" w:type="dxa"/>
            <w:tcBorders>
              <w:top w:val="nil"/>
              <w:left w:val="nil"/>
              <w:bottom w:val="nil"/>
              <w:right w:val="nil"/>
              <w:insideH w:val="nil"/>
              <w:insideV w:val="nil"/>
            </w:tcBorders>
            <w:shd w:fill="auto" w:val="clear"/>
          </w:tcPr>
          <w:p>
            <w:pPr>
              <w:pStyle w:val="Corpodetexto"/>
              <w:spacing w:lineRule="auto" w:line="360" w:before="0" w:after="0"/>
              <w:rPr>
                <w:color w:val="FF0000"/>
                <w:sz w:val="24"/>
                <w:szCs w:val="24"/>
              </w:rPr>
            </w:pPr>
            <w:r>
              <w:rPr>
                <w:rFonts w:eastAsia="Calibri" w:cs="Times New Roman" w:ascii="Times New Roman" w:hAnsi="Times New Roman" w:eastAsiaTheme="minorHAnsi"/>
                <w:bCs/>
                <w:sz w:val="24"/>
                <w:szCs w:val="24"/>
                <w:lang w:eastAsia="pt-BR"/>
              </w:rPr>
              <w:t>Figura 4 - Detalhe de um equipamento de lingotamento contínuo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20</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Figura 5 - Produtos comuns do processo de lingotamento contínuo de aços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21</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Figura 6 - Placa de aço produzida por lingotamento contínuo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21</w:t>
            </w:r>
          </w:p>
        </w:tc>
      </w:tr>
      <w:tr>
        <w:trPr/>
        <w:tc>
          <w:tcPr>
            <w:tcW w:w="8756" w:type="dxa"/>
            <w:tcBorders>
              <w:top w:val="nil"/>
              <w:left w:val="nil"/>
              <w:bottom w:val="nil"/>
              <w:right w:val="nil"/>
              <w:insideH w:val="nil"/>
              <w:insideV w:val="nil"/>
            </w:tcBorders>
            <w:shd w:fill="auto" w:val="clear"/>
          </w:tcPr>
          <w:p>
            <w:pPr>
              <w:pStyle w:val="Corpodetexto"/>
              <w:spacing w:lineRule="auto" w:line="360" w:before="0" w:after="0"/>
              <w:ind w:right="-7" w:hanging="0"/>
              <w:rPr>
                <w:color w:val="FF0000"/>
                <w:sz w:val="24"/>
                <w:szCs w:val="24"/>
              </w:rPr>
            </w:pPr>
            <w:r>
              <w:rPr>
                <w:rFonts w:eastAsia="SimSun" w:cs="Times New Roman" w:ascii="Times New Roman" w:hAnsi="Times New Roman"/>
                <w:sz w:val="24"/>
                <w:szCs w:val="24"/>
                <w:lang w:eastAsia="pt-BR"/>
              </w:rPr>
              <w:t>Figura 7 - Região de solidificação dos aços peritéticos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22</w:t>
            </w:r>
          </w:p>
        </w:tc>
      </w:tr>
      <w:tr>
        <w:trPr/>
        <w:tc>
          <w:tcPr>
            <w:tcW w:w="8756" w:type="dxa"/>
            <w:tcBorders>
              <w:top w:val="nil"/>
              <w:left w:val="nil"/>
              <w:bottom w:val="nil"/>
              <w:right w:val="nil"/>
              <w:insideH w:val="nil"/>
              <w:insideV w:val="nil"/>
            </w:tcBorders>
            <w:shd w:fill="auto" w:val="clear"/>
          </w:tcPr>
          <w:p>
            <w:pPr>
              <w:pStyle w:val="Ttulo1"/>
              <w:shd w:val="clear" w:color="auto" w:fill="FFFFFF"/>
              <w:spacing w:lineRule="auto" w:line="360" w:before="0" w:after="0"/>
              <w:ind w:right="-7" w:firstLine="38"/>
              <w:jc w:val="both"/>
              <w:rPr>
                <w:b w:val="false"/>
                <w:b w:val="false"/>
                <w:color w:val="FF0000"/>
                <w:sz w:val="24"/>
                <w:szCs w:val="24"/>
              </w:rPr>
            </w:pPr>
            <w:r>
              <w:rPr>
                <w:rFonts w:eastAsia="SimSun" w:cs="Times New Roman"/>
                <w:b w:val="false"/>
                <w:sz w:val="24"/>
                <w:szCs w:val="24"/>
                <w:lang w:eastAsia="pt-BR"/>
              </w:rPr>
              <w:t>Figura 8 - Esquema de solidificação para um aço com 0,15% de carbono antes e após a reação peritética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23</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Figura 9 - Trincas em placas no lingotamento contínuo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24</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 xml:space="preserve">Figura 10 - Pele de aço solidificada: (a) aço baixo e alto carbono; (b) aço médio carbono.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25</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0"/>
                <w:lang w:eastAsia="pt-BR"/>
              </w:rPr>
              <w:t>Figura 11 - Trinca longitudinal na superfície de uma placa de aço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25</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Figura 12 - Camadas do pó fluxante no molde de cobre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27</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bCs/>
                <w:color w:val="111111"/>
                <w:sz w:val="24"/>
                <w:szCs w:val="24"/>
                <w:lang w:eastAsia="pt-BR"/>
              </w:rPr>
              <w:t>Figura 13 - Localização das funções do pó fluxante no molde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28</w:t>
            </w:r>
          </w:p>
        </w:tc>
      </w:tr>
      <w:tr>
        <w:trPr>
          <w:trHeight w:val="479" w:hRule="atLeast"/>
        </w:trPr>
        <w:tc>
          <w:tcPr>
            <w:tcW w:w="8756" w:type="dxa"/>
            <w:tcBorders>
              <w:top w:val="nil"/>
              <w:left w:val="nil"/>
              <w:bottom w:val="nil"/>
              <w:right w:val="nil"/>
              <w:insideH w:val="nil"/>
              <w:insideV w:val="nil"/>
            </w:tcBorders>
            <w:shd w:fill="auto" w:val="clear"/>
          </w:tcPr>
          <w:p>
            <w:pPr>
              <w:pStyle w:val="Normal"/>
              <w:tabs>
                <w:tab w:val="left" w:pos="7513" w:leader="none"/>
              </w:tabs>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Figura 14 - Cristalização (a) e micrografia (b) de um pó fluxante solidificado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30</w:t>
            </w:r>
          </w:p>
        </w:tc>
      </w:tr>
      <w:tr>
        <w:trPr>
          <w:trHeight w:val="481" w:hRule="atLeast"/>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Figura 15 -</w:t>
            </w:r>
            <w:r>
              <w:rPr>
                <w:rFonts w:eastAsia="SimSun" w:cs="Times New Roman" w:ascii="Times New Roman" w:hAnsi="Times New Roman"/>
                <w:color w:val="FF0000"/>
                <w:sz w:val="24"/>
                <w:szCs w:val="24"/>
                <w:lang w:eastAsia="pt-BR"/>
              </w:rPr>
              <w:t xml:space="preserve"> </w:t>
            </w:r>
            <w:r>
              <w:rPr>
                <w:rFonts w:eastAsia="SimSun" w:cs="Times New Roman" w:ascii="Times New Roman" w:hAnsi="Times New Roman"/>
                <w:sz w:val="24"/>
                <w:szCs w:val="24"/>
                <w:lang w:eastAsia="pt-BR"/>
              </w:rPr>
              <w:t>O efeito da composição dos pós fluxantes em suas propriedades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32</w:t>
            </w:r>
          </w:p>
        </w:tc>
      </w:tr>
      <w:tr>
        <w:trPr>
          <w:trHeight w:val="481" w:hRule="atLeast"/>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 xml:space="preserve">Figura 16 - </w:t>
            </w:r>
            <w:r>
              <w:rPr>
                <w:rFonts w:eastAsia="SimSun" w:cs="Times New Roman" w:ascii="Times New Roman" w:hAnsi="Times New Roman"/>
                <w:sz w:val="23"/>
                <w:szCs w:val="23"/>
                <w:lang w:eastAsia="pt-BR"/>
              </w:rPr>
              <w:t>Dados reais para viscosidade de pós fluxantes que apresentam transição vítrea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34</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0"/>
                <w:lang w:eastAsia="pt-BR"/>
              </w:rPr>
              <w:t>Figura 17 - Relação índice de basicidade (Bi) e taxa de absorção de inclusões de alumina.</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35</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rPr>
            </w:pPr>
            <w:r>
              <w:rPr>
                <w:rFonts w:eastAsia="SimSun" w:cs="Times New Roman" w:ascii="Times New Roman" w:hAnsi="Times New Roman"/>
                <w:sz w:val="24"/>
                <w:szCs w:val="24"/>
                <w:lang w:eastAsia="pt-BR"/>
              </w:rPr>
              <w:t>Figura 18 - Região de transformação vítrea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36</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Figura 19 - Etapas da nucleação e crescimento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37</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Figura 20 - Barreiras para a formação de um núcleo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38</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 xml:space="preserve">Figura 21 - Diagrama do trabalho termodinâmico </w:t>
            </w:r>
            <w:r>
              <w:rPr>
                <w:rFonts w:eastAsia="SimSun" w:cs="Times New Roman" w:ascii="Times New Roman" w:hAnsi="Times New Roman"/>
                <w:b/>
                <w:i/>
                <w:sz w:val="24"/>
                <w:szCs w:val="24"/>
                <w:lang w:eastAsia="pt-BR"/>
              </w:rPr>
              <w:t xml:space="preserve">W </w:t>
            </w:r>
            <w:r>
              <w:rPr>
                <w:rFonts w:eastAsia="SimSun" w:cs="Times New Roman" w:ascii="Times New Roman" w:hAnsi="Times New Roman"/>
                <w:sz w:val="24"/>
                <w:szCs w:val="24"/>
                <w:lang w:eastAsia="pt-BR"/>
              </w:rPr>
              <w:t>............................................................</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39</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lang w:eastAsia="pt-BR"/>
              </w:rPr>
              <w:t xml:space="preserve">Figura 22 - </w:t>
            </w:r>
            <w:r>
              <w:rPr>
                <w:rFonts w:eastAsia="SimSun" w:cs="Times New Roman" w:ascii="Times New Roman" w:hAnsi="Times New Roman"/>
                <w:b/>
                <w:i/>
                <w:sz w:val="24"/>
                <w:szCs w:val="24"/>
                <w:lang w:eastAsia="pt-BR"/>
              </w:rPr>
              <w:t>ΔG*</w:t>
            </w:r>
            <w:r>
              <w:rPr>
                <w:rFonts w:eastAsia="SimSun" w:cs="Times New Roman" w:ascii="Times New Roman" w:hAnsi="Times New Roman"/>
                <w:sz w:val="24"/>
                <w:szCs w:val="24"/>
                <w:lang w:eastAsia="pt-BR"/>
              </w:rPr>
              <w:t xml:space="preserve"> em função de </w:t>
            </w:r>
            <w:r>
              <w:rPr>
                <w:rFonts w:eastAsia="SimSun" w:cs="Times New Roman" w:ascii="Times New Roman" w:hAnsi="Times New Roman"/>
                <w:b/>
                <w:i/>
                <w:sz w:val="24"/>
                <w:szCs w:val="24"/>
                <w:lang w:eastAsia="pt-BR"/>
              </w:rPr>
              <w:t>r*</w:t>
            </w:r>
            <w:r>
              <w:rPr>
                <w:rFonts w:eastAsia="SimSun" w:cs="Times New Roman" w:ascii="Times New Roman" w:hAnsi="Times New Roman"/>
                <w:sz w:val="24"/>
                <w:lang w:eastAsia="pt-BR"/>
              </w:rPr>
              <w:t xml:space="preserve"> em diferentes temperaturas de cristalização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41</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Figura 23 - Nucleação heterogênea a partir de um substrato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42</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Figura 24 - Raio crítico de núcleos homogêneo e heterogêneo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42</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rPr>
            </w:pPr>
            <w:r>
              <w:rPr>
                <w:rFonts w:eastAsia="SimSun" w:cs="Times New Roman" w:ascii="Times New Roman" w:hAnsi="Times New Roman"/>
                <w:sz w:val="24"/>
                <w:szCs w:val="24"/>
                <w:lang w:eastAsia="pt-BR"/>
              </w:rPr>
              <w:t>Figura 25 - Molhabilidade do substrato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43</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rPr>
            </w:pPr>
            <w:r>
              <w:rPr>
                <w:rFonts w:eastAsia="SimSun" w:cs="Times New Roman" w:ascii="Times New Roman" w:hAnsi="Times New Roman"/>
                <w:bCs/>
                <w:color w:val="000000"/>
                <w:sz w:val="24"/>
                <w:szCs w:val="24"/>
                <w:lang w:eastAsia="pt-BR"/>
              </w:rPr>
              <w:t>Figura 26 - Forças de tensão superficial em uma nucleação heterogênea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43</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 xml:space="preserve">Figura 27 - </w:t>
            </w:r>
            <w:r>
              <w:rPr>
                <w:rFonts w:eastAsia="SimSun" w:cs="Times New Roman" w:ascii="Times New Roman" w:hAnsi="Times New Roman"/>
                <w:b/>
                <w:i/>
                <w:sz w:val="24"/>
                <w:szCs w:val="24"/>
                <w:lang w:eastAsia="pt-BR"/>
              </w:rPr>
              <w:t>ΔG*</w:t>
            </w:r>
            <w:r>
              <w:rPr>
                <w:rFonts w:eastAsia="SimSun" w:cs="Times New Roman" w:ascii="Times New Roman" w:hAnsi="Times New Roman"/>
                <w:b/>
                <w:sz w:val="24"/>
                <w:szCs w:val="24"/>
                <w:lang w:eastAsia="pt-BR"/>
              </w:rPr>
              <w:t xml:space="preserve"> </w:t>
            </w:r>
            <w:r>
              <w:rPr>
                <w:rFonts w:eastAsia="SimSun" w:cs="Times New Roman" w:ascii="Times New Roman" w:hAnsi="Times New Roman"/>
                <w:sz w:val="24"/>
                <w:szCs w:val="24"/>
                <w:lang w:eastAsia="pt-BR"/>
              </w:rPr>
              <w:t>versus</w:t>
            </w:r>
            <w:r>
              <w:rPr>
                <w:rFonts w:eastAsia="SimSun" w:cs="Times New Roman" w:ascii="Times New Roman" w:hAnsi="Times New Roman"/>
                <w:b/>
                <w:sz w:val="24"/>
                <w:szCs w:val="24"/>
                <w:lang w:eastAsia="pt-BR"/>
              </w:rPr>
              <w:t xml:space="preserve"> r*</w:t>
            </w:r>
            <w:r>
              <w:rPr>
                <w:rFonts w:eastAsia="SimSun" w:cs="Times New Roman" w:ascii="Times New Roman" w:hAnsi="Times New Roman"/>
                <w:sz w:val="24"/>
                <w:szCs w:val="24"/>
                <w:lang w:eastAsia="pt-BR"/>
              </w:rPr>
              <w:t xml:space="preserve"> em nucleações homogênea e heterogênea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44</w:t>
            </w:r>
          </w:p>
        </w:tc>
      </w:tr>
      <w:tr>
        <w:trPr/>
        <w:tc>
          <w:tcPr>
            <w:tcW w:w="8756" w:type="dxa"/>
            <w:tcBorders>
              <w:top w:val="nil"/>
              <w:left w:val="nil"/>
              <w:bottom w:val="nil"/>
              <w:right w:val="nil"/>
              <w:insideH w:val="nil"/>
              <w:insideV w:val="nil"/>
            </w:tcBorders>
            <w:shd w:fill="auto" w:val="clear"/>
          </w:tcPr>
          <w:p>
            <w:pPr>
              <w:pStyle w:val="Normal"/>
              <w:tabs>
                <w:tab w:val="left" w:pos="6237" w:leader="none"/>
                <w:tab w:val="left" w:pos="6379" w:leader="none"/>
              </w:tabs>
              <w:spacing w:lineRule="auto" w:line="360" w:before="0" w:after="0"/>
              <w:ind w:right="-7" w:hanging="0"/>
              <w:jc w:val="both"/>
              <w:rPr>
                <w:color w:val="FF0000"/>
                <w:sz w:val="24"/>
              </w:rPr>
            </w:pPr>
            <w:r>
              <w:rPr>
                <w:rFonts w:eastAsia="SimSun" w:cs="Times New Roman" w:ascii="Times New Roman" w:hAnsi="Times New Roman"/>
                <w:sz w:val="24"/>
                <w:szCs w:val="20"/>
                <w:lang w:eastAsia="pt-BR"/>
              </w:rPr>
              <w:t>Figura 28 - Diagrama de núcleos estáveis, frequência de agrupamento e taxa de nucleação em função da temperatura.....................................................................................................</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45</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 xml:space="preserve">Figura 29 - Taxas de nucleação e crescimento em função da temperatura na nucleação heterogênea...........................................................................................................................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48</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rPr>
                <w:rFonts w:eastAsia="TimesNewRomanPSMT"/>
                <w:iCs/>
                <w:sz w:val="24"/>
                <w:szCs w:val="24"/>
              </w:rPr>
            </w:pPr>
            <w:r>
              <w:rPr>
                <w:rFonts w:cs="Times New Roman" w:ascii="Times New Roman" w:hAnsi="Times New Roman"/>
                <w:sz w:val="24"/>
                <w:szCs w:val="24"/>
                <w:lang w:eastAsia="pt-BR"/>
              </w:rPr>
              <w:t xml:space="preserve">Figura 30 - </w:t>
            </w:r>
            <w:r>
              <w:rPr>
                <w:rFonts w:cs="Times New Roman" w:ascii="Times New Roman" w:hAnsi="Times New Roman"/>
                <w:sz w:val="24"/>
                <w:lang w:eastAsia="pt-BR"/>
              </w:rPr>
              <w:t>F</w:t>
            </w:r>
            <w:r>
              <w:rPr>
                <w:rFonts w:eastAsia="TimesNewRomanPSMT" w:cs="Times New Roman" w:ascii="Times New Roman" w:hAnsi="Times New Roman"/>
                <w:sz w:val="24"/>
                <w:szCs w:val="24"/>
                <w:lang w:eastAsia="pt-BR"/>
              </w:rPr>
              <w:t xml:space="preserve">ração cristalizada </w:t>
            </w:r>
            <w:r>
              <w:rPr>
                <w:rFonts w:eastAsia="TimesNewRomanPSMT" w:cs="Times New Roman" w:ascii="Times New Roman" w:hAnsi="Times New Roman"/>
                <w:b/>
                <w:i/>
                <w:sz w:val="24"/>
                <w:szCs w:val="24"/>
                <w:lang w:eastAsia="pt-BR"/>
              </w:rPr>
              <w:t>X</w:t>
            </w:r>
            <w:r>
              <w:rPr>
                <w:rFonts w:eastAsia="TimesNewRomanPSMT" w:cs="Times New Roman" w:ascii="Times New Roman" w:hAnsi="Times New Roman"/>
                <w:i/>
                <w:iCs/>
                <w:sz w:val="24"/>
                <w:szCs w:val="24"/>
                <w:lang w:eastAsia="pt-BR"/>
              </w:rPr>
              <w:t xml:space="preserve"> </w:t>
            </w:r>
            <w:r>
              <w:rPr>
                <w:rFonts w:eastAsia="TimesNewRomanPSMT" w:cs="Times New Roman" w:ascii="Times New Roman" w:hAnsi="Times New Roman"/>
                <w:iCs/>
                <w:sz w:val="24"/>
                <w:szCs w:val="24"/>
                <w:lang w:eastAsia="pt-BR"/>
              </w:rPr>
              <w:t>versus</w:t>
            </w:r>
            <w:r>
              <w:rPr>
                <w:rFonts w:eastAsia="TimesNewRomanPSMT" w:cs="Times New Roman" w:ascii="Times New Roman" w:hAnsi="Times New Roman"/>
                <w:sz w:val="24"/>
                <w:szCs w:val="24"/>
                <w:lang w:eastAsia="pt-BR"/>
              </w:rPr>
              <w:t xml:space="preserve"> tempo de reação </w:t>
            </w:r>
            <w:r>
              <w:rPr>
                <w:rFonts w:eastAsia="TimesNewRomanPSMT" w:cs="Times New Roman" w:ascii="Times New Roman" w:hAnsi="Times New Roman"/>
                <w:b/>
                <w:i/>
                <w:iCs/>
                <w:sz w:val="24"/>
                <w:szCs w:val="24"/>
                <w:lang w:eastAsia="pt-BR"/>
              </w:rPr>
              <w:t xml:space="preserve">t </w:t>
            </w:r>
            <w:r>
              <w:rPr>
                <w:rFonts w:eastAsia="TimesNewRomanPSMT" w:cs="Times New Roman" w:ascii="Times New Roman" w:hAnsi="Times New Roman"/>
                <w:iCs/>
                <w:sz w:val="24"/>
                <w:szCs w:val="24"/>
                <w:lang w:eastAsia="pt-BR"/>
              </w:rPr>
              <w:t>................................................</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51</w:t>
            </w:r>
          </w:p>
        </w:tc>
      </w:tr>
      <w:tr>
        <w:trPr/>
        <w:tc>
          <w:tcPr>
            <w:tcW w:w="8756" w:type="dxa"/>
            <w:tcBorders>
              <w:top w:val="nil"/>
              <w:left w:val="nil"/>
              <w:bottom w:val="nil"/>
              <w:right w:val="nil"/>
              <w:insideH w:val="nil"/>
              <w:insideV w:val="nil"/>
            </w:tcBorders>
            <w:shd w:fill="auto" w:val="clear"/>
          </w:tcPr>
          <w:p>
            <w:pPr>
              <w:pStyle w:val="NormalWeb"/>
              <w:shd w:val="clear" w:color="auto" w:fill="FFFFFF"/>
              <w:tabs>
                <w:tab w:val="left" w:pos="5812" w:leader="none"/>
              </w:tabs>
              <w:spacing w:lineRule="auto" w:line="360" w:before="0" w:after="0"/>
              <w:ind w:right="-7" w:hanging="0"/>
              <w:jc w:val="both"/>
              <w:rPr>
                <w:color w:val="FF0000"/>
                <w:sz w:val="24"/>
                <w:szCs w:val="24"/>
              </w:rPr>
            </w:pPr>
            <w:r>
              <w:rPr>
                <w:rFonts w:eastAsia="SimSun" w:cs="Times New Roman"/>
                <w:sz w:val="24"/>
                <w:szCs w:val="24"/>
                <w:lang w:eastAsia="pt-BR"/>
              </w:rPr>
              <w:t>Figura 31 - Linearização da equação de JMAK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53</w:t>
            </w:r>
          </w:p>
        </w:tc>
      </w:tr>
      <w:tr>
        <w:trPr>
          <w:trHeight w:val="411" w:hRule="atLeast"/>
        </w:trPr>
        <w:tc>
          <w:tcPr>
            <w:tcW w:w="8756" w:type="dxa"/>
            <w:tcBorders>
              <w:top w:val="nil"/>
              <w:left w:val="nil"/>
              <w:bottom w:val="nil"/>
              <w:right w:val="nil"/>
              <w:insideH w:val="nil"/>
              <w:insideV w:val="nil"/>
            </w:tcBorders>
            <w:shd w:fill="auto" w:val="clear"/>
          </w:tcPr>
          <w:p>
            <w:pPr>
              <w:pStyle w:val="NormalWeb"/>
              <w:shd w:val="clear" w:color="auto" w:fill="FFFFFF"/>
              <w:spacing w:lineRule="auto" w:line="360" w:before="0" w:after="0"/>
              <w:ind w:right="-7" w:hanging="0"/>
              <w:jc w:val="both"/>
              <w:rPr>
                <w:rFonts w:eastAsia="Calibri" w:eastAsiaTheme="minorHAnsi"/>
                <w:color w:val="FF0000"/>
                <w:sz w:val="24"/>
                <w:szCs w:val="24"/>
                <w:lang w:eastAsia="en-US"/>
              </w:rPr>
            </w:pPr>
            <w:r>
              <w:rPr>
                <w:rFonts w:eastAsia="SimSun" w:cs="Times New Roman"/>
                <w:sz w:val="24"/>
                <w:szCs w:val="24"/>
                <w:lang w:eastAsia="pt-BR"/>
              </w:rPr>
              <w:t xml:space="preserve">Figura 32 - Diagrama da taxa de cristalização </w:t>
            </w:r>
            <w:r>
              <w:rPr>
                <w:rFonts w:eastAsia="SimSun" w:cs="Times New Roman"/>
                <w:b/>
                <w:i/>
                <w:sz w:val="24"/>
                <w:szCs w:val="24"/>
                <w:lang w:eastAsia="pt-BR"/>
              </w:rPr>
              <w:t>k</w:t>
            </w:r>
            <w:r>
              <w:rPr>
                <w:rFonts w:eastAsia="SimSun" w:cs="Times New Roman"/>
                <w:sz w:val="24"/>
                <w:szCs w:val="24"/>
                <w:lang w:eastAsia="pt-BR"/>
              </w:rPr>
              <w:t xml:space="preserve"> em função da temperatura </w:t>
            </w:r>
            <w:r>
              <w:rPr>
                <w:rFonts w:eastAsia="SimSun" w:cs="Times New Roman"/>
                <w:b/>
                <w:i/>
                <w:sz w:val="24"/>
                <w:szCs w:val="24"/>
                <w:lang w:eastAsia="pt-BR"/>
              </w:rPr>
              <w:t xml:space="preserve">T </w:t>
            </w:r>
            <w:r>
              <w:rPr>
                <w:rFonts w:eastAsia="SimSun" w:cs="Times New Roman"/>
                <w:sz w:val="24"/>
                <w:szCs w:val="24"/>
                <w:lang w:eastAsia="pt-BR"/>
              </w:rPr>
              <w:t>.......................</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55</w:t>
            </w:r>
          </w:p>
        </w:tc>
      </w:tr>
      <w:tr>
        <w:trPr/>
        <w:tc>
          <w:tcPr>
            <w:tcW w:w="8756" w:type="dxa"/>
            <w:tcBorders>
              <w:top w:val="nil"/>
              <w:left w:val="nil"/>
              <w:bottom w:val="nil"/>
              <w:right w:val="nil"/>
              <w:insideH w:val="nil"/>
              <w:insideV w:val="nil"/>
            </w:tcBorders>
            <w:shd w:fill="auto" w:val="clear"/>
          </w:tcPr>
          <w:p>
            <w:pPr>
              <w:pStyle w:val="NormalWeb"/>
              <w:shd w:val="clear" w:color="auto" w:fill="FFFFFF"/>
              <w:spacing w:lineRule="auto" w:line="360" w:before="0" w:after="0"/>
              <w:ind w:right="-7" w:hanging="0"/>
              <w:jc w:val="both"/>
              <w:rPr>
                <w:rFonts w:eastAsia="Calibri" w:eastAsiaTheme="minorHAnsi"/>
                <w:color w:val="FF0000"/>
                <w:sz w:val="24"/>
                <w:szCs w:val="24"/>
                <w:lang w:eastAsia="en-US"/>
              </w:rPr>
            </w:pPr>
            <w:r>
              <w:rPr>
                <w:rFonts w:eastAsia="Calibri" w:cs="Times New Roman" w:eastAsiaTheme="minorHAnsi"/>
                <w:sz w:val="24"/>
                <w:szCs w:val="24"/>
                <w:lang w:eastAsia="en-US"/>
              </w:rPr>
              <w:t>Figura 33 – Exemplo de termograma DSC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57</w:t>
            </w:r>
          </w:p>
        </w:tc>
      </w:tr>
      <w:tr>
        <w:trPr/>
        <w:tc>
          <w:tcPr>
            <w:tcW w:w="8756" w:type="dxa"/>
            <w:tcBorders>
              <w:top w:val="nil"/>
              <w:left w:val="nil"/>
              <w:bottom w:val="nil"/>
              <w:right w:val="nil"/>
              <w:insideH w:val="nil"/>
              <w:insideV w:val="nil"/>
            </w:tcBorders>
            <w:shd w:fill="auto" w:val="clear"/>
          </w:tcPr>
          <w:p>
            <w:pPr>
              <w:pStyle w:val="Normal"/>
              <w:tabs>
                <w:tab w:val="left" w:pos="5812" w:leader="none"/>
              </w:tabs>
              <w:spacing w:lineRule="auto" w:line="360" w:before="0" w:after="0"/>
              <w:ind w:right="-7" w:hanging="0"/>
              <w:jc w:val="both"/>
              <w:rPr>
                <w:color w:val="FF0000"/>
                <w:sz w:val="24"/>
                <w:szCs w:val="24"/>
              </w:rPr>
            </w:pPr>
            <w:r>
              <w:rPr>
                <w:rFonts w:eastAsia="SimSun" w:cs="Times New Roman" w:ascii="Times New Roman" w:hAnsi="Times New Roman"/>
                <w:sz w:val="24"/>
                <w:szCs w:val="24"/>
                <w:lang w:eastAsia="pt-BR"/>
              </w:rPr>
              <w:t xml:space="preserve">Figura 34 - Representação do cálculo de fração cristalizada a partir do pico de cristalização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58</w:t>
            </w:r>
          </w:p>
        </w:tc>
      </w:tr>
      <w:tr>
        <w:trPr/>
        <w:tc>
          <w:tcPr>
            <w:tcW w:w="8756" w:type="dxa"/>
            <w:tcBorders>
              <w:top w:val="nil"/>
              <w:left w:val="nil"/>
              <w:bottom w:val="nil"/>
              <w:right w:val="nil"/>
              <w:insideH w:val="nil"/>
              <w:insideV w:val="nil"/>
            </w:tcBorders>
            <w:shd w:fill="auto" w:val="clear"/>
          </w:tcPr>
          <w:p>
            <w:pPr>
              <w:pStyle w:val="NormalWeb"/>
              <w:shd w:val="clear" w:color="auto" w:fill="FFFFFF"/>
              <w:spacing w:lineRule="auto" w:line="360" w:before="0" w:after="0"/>
              <w:ind w:right="-7" w:hanging="0"/>
              <w:jc w:val="both"/>
              <w:rPr>
                <w:color w:val="121412"/>
                <w:w w:val="105"/>
                <w:sz w:val="24"/>
                <w:szCs w:val="24"/>
              </w:rPr>
            </w:pPr>
            <w:r>
              <w:rPr>
                <w:rFonts w:eastAsia="SimSun" w:cs="Times New Roman"/>
                <w:color w:val="121412"/>
                <w:w w:val="105"/>
                <w:sz w:val="24"/>
                <w:szCs w:val="24"/>
                <w:lang w:eastAsia="pt-BR"/>
              </w:rPr>
              <w:t xml:space="preserve">Figura 35 - </w:t>
            </w:r>
            <w:r>
              <w:rPr>
                <w:rFonts w:eastAsia="SimSun" w:cs="Times New Roman"/>
                <w:sz w:val="24"/>
                <w:szCs w:val="23"/>
                <w:lang w:eastAsia="pt-BR"/>
              </w:rPr>
              <w:t>MEV de um material cerâmico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59</w:t>
            </w:r>
          </w:p>
        </w:tc>
      </w:tr>
      <w:tr>
        <w:trPr/>
        <w:tc>
          <w:tcPr>
            <w:tcW w:w="8756" w:type="dxa"/>
            <w:tcBorders>
              <w:top w:val="nil"/>
              <w:left w:val="nil"/>
              <w:bottom w:val="nil"/>
              <w:right w:val="nil"/>
              <w:insideH w:val="nil"/>
              <w:insideV w:val="nil"/>
            </w:tcBorders>
            <w:shd w:fill="auto" w:val="clear"/>
          </w:tcPr>
          <w:p>
            <w:pPr>
              <w:pStyle w:val="NormalWeb"/>
              <w:shd w:val="clear" w:color="auto" w:fill="FFFFFF"/>
              <w:spacing w:lineRule="auto" w:line="360" w:before="0" w:after="0"/>
              <w:ind w:right="-7" w:hanging="0"/>
              <w:jc w:val="both"/>
              <w:rPr>
                <w:color w:val="121412"/>
                <w:w w:val="105"/>
                <w:sz w:val="24"/>
                <w:szCs w:val="24"/>
              </w:rPr>
            </w:pPr>
            <w:r>
              <w:rPr>
                <w:rFonts w:eastAsia="SimSun" w:cs="Times New Roman"/>
                <w:sz w:val="24"/>
                <w:szCs w:val="24"/>
                <w:lang w:eastAsia="pt-BR"/>
              </w:rPr>
              <w:t>Figura 36 - Equipamento DSC da UFC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60</w:t>
            </w:r>
          </w:p>
        </w:tc>
      </w:tr>
      <w:tr>
        <w:trPr/>
        <w:tc>
          <w:tcPr>
            <w:tcW w:w="8756" w:type="dxa"/>
            <w:tcBorders>
              <w:top w:val="nil"/>
              <w:left w:val="nil"/>
              <w:bottom w:val="nil"/>
              <w:right w:val="nil"/>
              <w:insideH w:val="nil"/>
              <w:insideV w:val="nil"/>
            </w:tcBorders>
            <w:shd w:fill="auto" w:val="clear"/>
          </w:tcPr>
          <w:p>
            <w:pPr>
              <w:pStyle w:val="NormalWeb"/>
              <w:shd w:val="clear" w:color="auto" w:fill="FFFFFF"/>
              <w:spacing w:lineRule="auto" w:line="360" w:before="0" w:after="0"/>
              <w:ind w:right="-7" w:hanging="0"/>
              <w:jc w:val="both"/>
              <w:rPr>
                <w:color w:val="FF0000"/>
                <w:sz w:val="24"/>
                <w:szCs w:val="24"/>
              </w:rPr>
            </w:pPr>
            <w:r>
              <w:rPr>
                <w:rFonts w:eastAsia="SimSun" w:cs="Times New Roman"/>
                <w:color w:val="121412"/>
                <w:w w:val="105"/>
                <w:sz w:val="24"/>
                <w:szCs w:val="24"/>
                <w:lang w:eastAsia="pt-BR"/>
              </w:rPr>
              <w:t>Figura 37 - Termograma DSC do pó fluxante A em diferentes taxas de resfriamento (mW/mg vs T)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61</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jc w:val="both"/>
              <w:rPr>
                <w:sz w:val="24"/>
                <w:szCs w:val="24"/>
              </w:rPr>
            </w:pPr>
            <w:r>
              <w:rPr>
                <w:rFonts w:eastAsia="SimSun" w:cs="Times New Roman" w:ascii="Times New Roman" w:hAnsi="Times New Roman"/>
                <w:color w:val="121412"/>
                <w:w w:val="105"/>
                <w:sz w:val="24"/>
                <w:szCs w:val="24"/>
                <w:lang w:eastAsia="pt-BR"/>
              </w:rPr>
              <w:t>Figura 38 - Cristalinidade relativa e TTT do pó fluxante A vs Tempo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62</w:t>
            </w:r>
          </w:p>
        </w:tc>
      </w:tr>
      <w:tr>
        <w:trPr/>
        <w:tc>
          <w:tcPr>
            <w:tcW w:w="8756" w:type="dxa"/>
            <w:tcBorders>
              <w:top w:val="nil"/>
              <w:left w:val="nil"/>
              <w:bottom w:val="nil"/>
              <w:right w:val="nil"/>
              <w:insideH w:val="nil"/>
              <w:insideV w:val="nil"/>
            </w:tcBorders>
            <w:shd w:fill="auto" w:val="clear"/>
          </w:tcPr>
          <w:p>
            <w:pPr>
              <w:pStyle w:val="NormalWeb"/>
              <w:shd w:val="clear" w:color="auto" w:fill="FFFFFF"/>
              <w:spacing w:lineRule="auto" w:line="360" w:before="0" w:after="0"/>
              <w:ind w:right="-7" w:hanging="0"/>
              <w:jc w:val="both"/>
              <w:rPr>
                <w:color w:val="FF0000"/>
                <w:sz w:val="24"/>
                <w:szCs w:val="24"/>
              </w:rPr>
            </w:pPr>
            <w:r>
              <w:rPr>
                <w:rFonts w:eastAsia="SimSun" w:cs="Times New Roman"/>
                <w:sz w:val="24"/>
                <w:szCs w:val="24"/>
                <w:lang w:eastAsia="pt-BR"/>
              </w:rPr>
              <w:t>Figura 39 - Perfil térmico</w:t>
            </w:r>
            <w:r>
              <w:rPr>
                <w:rFonts w:eastAsia="SimSun" w:cs="Times New Roman"/>
                <w:spacing w:val="1"/>
                <w:sz w:val="24"/>
                <w:szCs w:val="24"/>
                <w:lang w:eastAsia="pt-BR"/>
              </w:rPr>
              <w:t xml:space="preserve"> d</w:t>
            </w:r>
            <w:r>
              <w:rPr>
                <w:rFonts w:eastAsia="SimSun" w:cs="Times New Roman"/>
                <w:sz w:val="24"/>
                <w:szCs w:val="24"/>
                <w:lang w:eastAsia="pt-BR"/>
              </w:rPr>
              <w:t>as DSC</w:t>
            </w:r>
            <w:r>
              <w:rPr>
                <w:rFonts w:eastAsia="SimSun" w:cs="Times New Roman"/>
                <w:spacing w:val="1"/>
                <w:sz w:val="24"/>
                <w:szCs w:val="24"/>
                <w:lang w:eastAsia="pt-BR"/>
              </w:rPr>
              <w:t xml:space="preserve"> </w:t>
            </w:r>
            <w:r>
              <w:rPr>
                <w:rFonts w:eastAsia="SimSun" w:cs="Times New Roman"/>
                <w:sz w:val="24"/>
                <w:szCs w:val="24"/>
                <w:lang w:eastAsia="pt-BR"/>
              </w:rPr>
              <w:t>isotérmicas do pó fluxante A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63</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jc w:val="both"/>
              <w:rPr>
                <w:color w:val="FF0000"/>
                <w:sz w:val="24"/>
                <w:szCs w:val="24"/>
              </w:rPr>
            </w:pPr>
            <w:r>
              <w:rPr>
                <w:rFonts w:eastAsia="SimSun" w:cs="Times New Roman" w:ascii="Times New Roman" w:hAnsi="Times New Roman"/>
                <w:color w:val="121412"/>
                <w:sz w:val="24"/>
                <w:szCs w:val="24"/>
                <w:lang w:eastAsia="pt-BR"/>
              </w:rPr>
              <w:t>Figura 40 - Termogramas isotérmicos dos pós fluxantes A, B e D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64</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jc w:val="both"/>
              <w:rPr>
                <w:color w:val="FF0000"/>
                <w:sz w:val="24"/>
                <w:szCs w:val="24"/>
              </w:rPr>
            </w:pPr>
            <w:r>
              <w:rPr>
                <w:rFonts w:eastAsia="SimSun" w:cs="Times New Roman" w:ascii="Times New Roman" w:hAnsi="Times New Roman"/>
                <w:sz w:val="24"/>
                <w:szCs w:val="24"/>
                <w:lang w:eastAsia="pt-BR"/>
              </w:rPr>
              <w:t>Figura 41 - Grau relativo de cristalinidade (X) vs Tempo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65</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jc w:val="both"/>
              <w:rPr>
                <w:color w:val="FF0000"/>
                <w:sz w:val="24"/>
                <w:szCs w:val="24"/>
              </w:rPr>
            </w:pPr>
            <w:r>
              <w:rPr>
                <w:rFonts w:eastAsia="SimSun" w:cs="Times New Roman" w:ascii="Times New Roman" w:hAnsi="Times New Roman"/>
                <w:w w:val="105"/>
                <w:sz w:val="24"/>
                <w:szCs w:val="24"/>
                <w:lang w:eastAsia="pt-BR"/>
              </w:rPr>
              <w:t>Figura 42 - log[-ln(1-X)] vs log t do pó fluxante A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66</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jc w:val="both"/>
              <w:rPr>
                <w:color w:val="FF0000"/>
                <w:sz w:val="24"/>
                <w:szCs w:val="24"/>
              </w:rPr>
            </w:pPr>
            <w:r>
              <w:rPr>
                <w:rFonts w:eastAsia="SimSun" w:cs="Times New Roman" w:ascii="Times New Roman" w:hAnsi="Times New Roman"/>
                <w:w w:val="105"/>
                <w:sz w:val="24"/>
                <w:szCs w:val="24"/>
                <w:lang w:eastAsia="pt-BR"/>
              </w:rPr>
              <w:t xml:space="preserve">Figura 43 - Diagrama de </w:t>
            </w:r>
            <w:r>
              <w:rPr>
                <w:rFonts w:eastAsia="SimSun" w:cs="Times New Roman" w:ascii="Times New Roman" w:hAnsi="Times New Roman"/>
                <w:b/>
                <w:i/>
                <w:w w:val="105"/>
                <w:sz w:val="24"/>
                <w:szCs w:val="24"/>
                <w:lang w:eastAsia="pt-BR"/>
              </w:rPr>
              <w:t>log[-ln(1-X)]</w:t>
            </w:r>
            <w:r>
              <w:rPr>
                <w:rFonts w:eastAsia="SimSun" w:cs="Times New Roman" w:ascii="Times New Roman" w:hAnsi="Times New Roman"/>
                <w:w w:val="105"/>
                <w:sz w:val="24"/>
                <w:szCs w:val="24"/>
                <w:lang w:eastAsia="pt-BR"/>
              </w:rPr>
              <w:t xml:space="preserve"> vs log </w:t>
            </w:r>
            <w:r>
              <w:rPr>
                <w:rFonts w:eastAsia="SimSun" w:cs="Times New Roman" w:ascii="Times New Roman" w:hAnsi="Times New Roman"/>
                <w:b/>
                <w:i/>
                <w:w w:val="105"/>
                <w:sz w:val="24"/>
                <w:szCs w:val="24"/>
                <w:lang w:eastAsia="pt-BR"/>
              </w:rPr>
              <w:t>t</w:t>
            </w:r>
            <w:r>
              <w:rPr>
                <w:rFonts w:eastAsia="SimSun" w:cs="Times New Roman" w:ascii="Times New Roman" w:hAnsi="Times New Roman"/>
                <w:w w:val="105"/>
                <w:sz w:val="24"/>
                <w:szCs w:val="24"/>
                <w:lang w:eastAsia="pt-BR"/>
              </w:rPr>
              <w:t xml:space="preserve"> (segundos)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67</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jc w:val="both"/>
              <w:rPr>
                <w:color w:val="FF0000"/>
                <w:sz w:val="24"/>
                <w:szCs w:val="24"/>
              </w:rPr>
            </w:pPr>
            <w:r>
              <w:rPr>
                <w:rFonts w:eastAsia="Times New Roman" w:cs="Times New Roman" w:ascii="Times New Roman" w:hAnsi="Times New Roman"/>
                <w:bCs/>
                <w:color w:val="000000"/>
                <w:sz w:val="24"/>
                <w:szCs w:val="24"/>
                <w:lang w:eastAsia="pt-BR"/>
              </w:rPr>
              <w:t xml:space="preserve">Figura 44 - Diagrama da </w:t>
            </w:r>
            <w:r>
              <w:rPr>
                <w:rFonts w:eastAsia="Times New Roman" w:cs="Times New Roman" w:ascii="Times New Roman" w:hAnsi="Times New Roman"/>
                <w:b/>
                <w:bCs/>
                <w:i/>
                <w:color w:val="000000"/>
                <w:sz w:val="24"/>
                <w:szCs w:val="24"/>
                <w:lang w:eastAsia="pt-BR"/>
              </w:rPr>
              <w:t>Ea</w:t>
            </w:r>
            <w:r>
              <w:rPr>
                <w:rFonts w:eastAsia="Times New Roman" w:cs="Times New Roman" w:ascii="Times New Roman" w:hAnsi="Times New Roman"/>
                <w:bCs/>
                <w:color w:val="000000"/>
                <w:sz w:val="24"/>
                <w:szCs w:val="24"/>
                <w:lang w:eastAsia="pt-BR"/>
              </w:rPr>
              <w:t xml:space="preserve"> para cristalização dos pós fluxantes A, B e D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69</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jc w:val="both"/>
              <w:rPr>
                <w:color w:val="FF0000"/>
                <w:sz w:val="24"/>
                <w:szCs w:val="24"/>
              </w:rPr>
            </w:pPr>
            <w:r>
              <w:rPr>
                <w:rFonts w:eastAsia="SimSun" w:cs="Times New Roman" w:ascii="Times New Roman" w:hAnsi="Times New Roman"/>
                <w:sz w:val="24"/>
                <w:szCs w:val="24"/>
                <w:lang w:eastAsia="pt-BR"/>
              </w:rPr>
              <w:t>Figura 45 - MEV do pó fluxante A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70</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jc w:val="both"/>
              <w:rPr>
                <w:color w:val="FF0000"/>
                <w:sz w:val="24"/>
                <w:szCs w:val="24"/>
              </w:rPr>
            </w:pPr>
            <w:r>
              <w:rPr>
                <w:rFonts w:eastAsia="SimSun" w:cs="Times New Roman" w:ascii="Times New Roman" w:hAnsi="Times New Roman"/>
                <w:sz w:val="24"/>
                <w:szCs w:val="24"/>
                <w:lang w:eastAsia="pt-BR"/>
              </w:rPr>
              <w:t>Figura 46 - Imagens obtidas em microscópio óptico da amostra CSTNA_1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71</w:t>
            </w:r>
          </w:p>
        </w:tc>
      </w:tr>
      <w:tr>
        <w:trPr/>
        <w:tc>
          <w:tcPr>
            <w:tcW w:w="8756" w:type="dxa"/>
            <w:tcBorders>
              <w:top w:val="nil"/>
              <w:left w:val="nil"/>
              <w:bottom w:val="nil"/>
              <w:right w:val="nil"/>
              <w:insideH w:val="nil"/>
              <w:insideV w:val="nil"/>
            </w:tcBorders>
            <w:shd w:fill="auto" w:val="clear"/>
          </w:tcPr>
          <w:p>
            <w:pPr>
              <w:pStyle w:val="Normal"/>
              <w:spacing w:lineRule="auto" w:line="360" w:before="0" w:after="0"/>
              <w:jc w:val="both"/>
              <w:rPr>
                <w:color w:val="FF0000"/>
                <w:sz w:val="24"/>
                <w:szCs w:val="24"/>
              </w:rPr>
            </w:pPr>
            <w:r>
              <w:rPr>
                <w:rFonts w:eastAsia="SimSun" w:cs="Times New Roman" w:ascii="Times New Roman" w:hAnsi="Times New Roman"/>
                <w:sz w:val="24"/>
                <w:szCs w:val="24"/>
                <w:lang w:eastAsia="pt-BR"/>
              </w:rPr>
              <w:t>Figura 47 - MEV do pó fluxante B após a cristalização ........................................................</w:t>
            </w:r>
          </w:p>
        </w:tc>
        <w:tc>
          <w:tcPr>
            <w:tcW w:w="455"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72</w:t>
            </w:r>
          </w:p>
        </w:tc>
      </w:tr>
    </w:tbl>
    <w:p>
      <w:pPr>
        <w:pStyle w:val="Corpodetexto"/>
        <w:spacing w:lineRule="auto" w:line="360" w:before="0" w:after="0"/>
        <w:jc w:val="center"/>
        <w:rPr>
          <w:rFonts w:ascii="Times New Roman" w:hAnsi="Times New Roman" w:cs="Times New Roman"/>
          <w:b/>
          <w:b/>
          <w:color w:val="000000"/>
          <w:sz w:val="24"/>
          <w:szCs w:val="24"/>
        </w:rPr>
      </w:pPr>
      <w:r>
        <w:br w:type="page"/>
      </w:r>
      <w:bookmarkStart w:id="20" w:name="_Toc257734708"/>
      <w:bookmarkStart w:id="21" w:name="_Toc257735653"/>
      <w:bookmarkEnd w:id="20"/>
      <w:bookmarkEnd w:id="21"/>
      <w:r>
        <w:rPr>
          <w:rFonts w:cs="Times New Roman" w:ascii="Times New Roman" w:hAnsi="Times New Roman"/>
          <w:b/>
          <w:color w:val="000000"/>
          <w:sz w:val="24"/>
          <w:szCs w:val="24"/>
        </w:rPr>
        <w:t>LISTA DE TABELAS</w:t>
      </w:r>
    </w:p>
    <w:tbl>
      <w:tblPr>
        <w:tblStyle w:val="Tabelacomgrade"/>
        <w:tblpPr w:bottomFromText="0" w:horzAnchor="margin" w:leftFromText="141" w:rightFromText="141" w:tblpX="0" w:tblpY="2825" w:topFromText="0" w:vertAnchor="page"/>
        <w:tblW w:w="9192" w:type="dxa"/>
        <w:jc w:val="left"/>
        <w:tblInd w:w="0" w:type="dxa"/>
        <w:tblCellMar>
          <w:top w:w="0" w:type="dxa"/>
          <w:left w:w="108" w:type="dxa"/>
          <w:bottom w:w="0" w:type="dxa"/>
          <w:right w:w="108" w:type="dxa"/>
        </w:tblCellMar>
        <w:tblLook w:noVBand="1" w:val="04a0" w:noHBand="0" w:lastColumn="0" w:firstColumn="1" w:lastRow="0" w:firstRow="1"/>
      </w:tblPr>
      <w:tblGrid>
        <w:gridCol w:w="8642"/>
        <w:gridCol w:w="549"/>
      </w:tblGrid>
      <w:tr>
        <w:trPr/>
        <w:tc>
          <w:tcPr>
            <w:tcW w:w="8642" w:type="dxa"/>
            <w:tcBorders>
              <w:top w:val="nil"/>
              <w:left w:val="nil"/>
              <w:bottom w:val="nil"/>
              <w:right w:val="nil"/>
              <w:insideH w:val="nil"/>
              <w:insideV w:val="nil"/>
            </w:tcBorders>
            <w:shd w:fill="auto" w:val="clear"/>
          </w:tcPr>
          <w:p>
            <w:pPr>
              <w:pStyle w:val="Normal"/>
              <w:spacing w:lineRule="auto" w:line="360" w:before="0" w:after="0"/>
              <w:ind w:right="-7" w:hanging="0"/>
              <w:rPr>
                <w:color w:val="FF0000"/>
                <w:sz w:val="24"/>
                <w:szCs w:val="24"/>
              </w:rPr>
            </w:pPr>
            <w:r>
              <w:rPr>
                <w:rFonts w:eastAsia="SimSun" w:cs="Times New Roman" w:ascii="Times New Roman" w:hAnsi="Times New Roman"/>
                <w:sz w:val="24"/>
                <w:szCs w:val="24"/>
                <w:lang w:eastAsia="pt-BR"/>
              </w:rPr>
              <w:t>Tabela 1 - Valores de composição para pós fluxantes típicos ...........................................</w:t>
            </w:r>
          </w:p>
        </w:tc>
        <w:tc>
          <w:tcPr>
            <w:tcW w:w="549"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31</w:t>
            </w:r>
          </w:p>
        </w:tc>
      </w:tr>
      <w:tr>
        <w:trPr/>
        <w:tc>
          <w:tcPr>
            <w:tcW w:w="8642" w:type="dxa"/>
            <w:tcBorders>
              <w:top w:val="nil"/>
              <w:left w:val="nil"/>
              <w:bottom w:val="nil"/>
              <w:right w:val="nil"/>
              <w:insideH w:val="nil"/>
              <w:insideV w:val="nil"/>
            </w:tcBorders>
            <w:shd w:fill="auto" w:val="clear"/>
          </w:tcPr>
          <w:p>
            <w:pPr>
              <w:pStyle w:val="Normal"/>
              <w:spacing w:lineRule="auto" w:line="360" w:before="0" w:after="0"/>
              <w:jc w:val="both"/>
              <w:rPr>
                <w:color w:val="FF0000"/>
                <w:sz w:val="24"/>
                <w:szCs w:val="24"/>
              </w:rPr>
            </w:pPr>
            <w:r>
              <w:rPr>
                <w:rFonts w:eastAsia="SimSun" w:cs="Times New Roman" w:ascii="Times New Roman" w:hAnsi="Times New Roman"/>
                <w:sz w:val="24"/>
                <w:szCs w:val="24"/>
                <w:lang w:eastAsia="pt-BR"/>
              </w:rPr>
              <w:t>Tabela 2 - Parâmetros de JMAK para cristalização ............................................................</w:t>
            </w:r>
          </w:p>
        </w:tc>
        <w:tc>
          <w:tcPr>
            <w:tcW w:w="549"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53</w:t>
            </w:r>
          </w:p>
        </w:tc>
      </w:tr>
      <w:tr>
        <w:trPr/>
        <w:tc>
          <w:tcPr>
            <w:tcW w:w="8642" w:type="dxa"/>
            <w:tcBorders>
              <w:top w:val="nil"/>
              <w:left w:val="nil"/>
              <w:bottom w:val="nil"/>
              <w:right w:val="nil"/>
              <w:insideH w:val="nil"/>
              <w:insideV w:val="nil"/>
            </w:tcBorders>
            <w:shd w:fill="auto" w:val="clear"/>
          </w:tcPr>
          <w:p>
            <w:pPr>
              <w:pStyle w:val="Corpodetexto"/>
              <w:spacing w:lineRule="auto" w:line="360" w:before="0" w:after="0"/>
              <w:jc w:val="both"/>
              <w:rPr>
                <w:w w:val="105"/>
                <w:sz w:val="24"/>
                <w:szCs w:val="24"/>
              </w:rPr>
            </w:pPr>
            <w:r>
              <w:rPr>
                <w:rFonts w:eastAsia="SimSun" w:cs="Times New Roman" w:ascii="Times New Roman" w:hAnsi="Times New Roman"/>
                <w:color w:val="121412"/>
                <w:sz w:val="24"/>
                <w:szCs w:val="24"/>
                <w:lang w:eastAsia="pt-BR"/>
              </w:rPr>
              <w:t>Tabela 3 - Composição química dos pós fluxantes B e D ...................................................</w:t>
            </w:r>
          </w:p>
        </w:tc>
        <w:tc>
          <w:tcPr>
            <w:tcW w:w="549"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60</w:t>
            </w:r>
          </w:p>
        </w:tc>
      </w:tr>
      <w:tr>
        <w:trPr/>
        <w:tc>
          <w:tcPr>
            <w:tcW w:w="8642" w:type="dxa"/>
            <w:tcBorders>
              <w:top w:val="nil"/>
              <w:left w:val="nil"/>
              <w:bottom w:val="nil"/>
              <w:right w:val="nil"/>
              <w:insideH w:val="nil"/>
              <w:insideV w:val="nil"/>
            </w:tcBorders>
            <w:shd w:fill="auto" w:val="clear"/>
          </w:tcPr>
          <w:p>
            <w:pPr>
              <w:pStyle w:val="Corpodetexto"/>
              <w:spacing w:lineRule="auto" w:line="360" w:before="0" w:after="0"/>
              <w:jc w:val="both"/>
              <w:rPr>
                <w:color w:val="FF0000"/>
                <w:sz w:val="24"/>
                <w:szCs w:val="24"/>
              </w:rPr>
            </w:pPr>
            <w:r>
              <w:rPr>
                <w:rFonts w:eastAsia="SimSun" w:cs="Times New Roman" w:ascii="Times New Roman" w:hAnsi="Times New Roman"/>
                <w:w w:val="105"/>
                <w:sz w:val="24"/>
                <w:szCs w:val="24"/>
                <w:lang w:eastAsia="pt-BR"/>
              </w:rPr>
              <w:t xml:space="preserve">Tabela 4 - Valores de </w:t>
            </w:r>
            <w:r>
              <w:rPr>
                <w:rFonts w:eastAsia="SimSun" w:cs="Times New Roman" w:ascii="Times New Roman" w:hAnsi="Times New Roman"/>
                <w:b/>
                <w:i/>
                <w:w w:val="105"/>
                <w:sz w:val="24"/>
                <w:szCs w:val="24"/>
                <w:lang w:eastAsia="pt-BR"/>
              </w:rPr>
              <w:t>log[-ln(1-X)]</w:t>
            </w:r>
            <w:r>
              <w:rPr>
                <w:rFonts w:eastAsia="SimSun" w:cs="Times New Roman" w:ascii="Times New Roman" w:hAnsi="Times New Roman"/>
                <w:w w:val="105"/>
                <w:sz w:val="24"/>
                <w:szCs w:val="24"/>
                <w:lang w:eastAsia="pt-BR"/>
              </w:rPr>
              <w:t xml:space="preserve"> relativos a log </w:t>
            </w:r>
            <w:r>
              <w:rPr>
                <w:rFonts w:eastAsia="SimSun" w:cs="Times New Roman" w:ascii="Times New Roman" w:hAnsi="Times New Roman"/>
                <w:b/>
                <w:i/>
                <w:w w:val="105"/>
                <w:sz w:val="24"/>
                <w:szCs w:val="24"/>
                <w:lang w:eastAsia="pt-BR"/>
              </w:rPr>
              <w:t>t</w:t>
            </w:r>
            <w:r>
              <w:rPr>
                <w:rFonts w:eastAsia="SimSun" w:cs="Times New Roman" w:ascii="Times New Roman" w:hAnsi="Times New Roman"/>
                <w:w w:val="105"/>
                <w:sz w:val="24"/>
                <w:szCs w:val="24"/>
                <w:lang w:eastAsia="pt-BR"/>
              </w:rPr>
              <w:t xml:space="preserve"> do pó fluxante A .........................</w:t>
            </w:r>
          </w:p>
        </w:tc>
        <w:tc>
          <w:tcPr>
            <w:tcW w:w="549"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66</w:t>
            </w:r>
          </w:p>
        </w:tc>
      </w:tr>
      <w:tr>
        <w:trPr/>
        <w:tc>
          <w:tcPr>
            <w:tcW w:w="8642" w:type="dxa"/>
            <w:tcBorders>
              <w:top w:val="nil"/>
              <w:left w:val="nil"/>
              <w:bottom w:val="nil"/>
              <w:right w:val="nil"/>
              <w:insideH w:val="nil"/>
              <w:insideV w:val="nil"/>
            </w:tcBorders>
            <w:shd w:fill="auto" w:val="clear"/>
          </w:tcPr>
          <w:p>
            <w:pPr>
              <w:pStyle w:val="Normal"/>
              <w:spacing w:lineRule="auto" w:line="360" w:before="0" w:after="0"/>
              <w:ind w:right="61" w:hanging="0"/>
              <w:jc w:val="both"/>
              <w:rPr>
                <w:color w:val="FF0000"/>
                <w:sz w:val="24"/>
                <w:szCs w:val="24"/>
              </w:rPr>
            </w:pPr>
            <w:r>
              <w:rPr>
                <w:rFonts w:eastAsia="SimSun" w:cs="Times New Roman" w:ascii="Times New Roman" w:hAnsi="Times New Roman"/>
                <w:w w:val="105"/>
                <w:sz w:val="24"/>
                <w:szCs w:val="24"/>
                <w:lang w:eastAsia="pt-BR"/>
              </w:rPr>
              <w:t xml:space="preserve">Tabela 5 - Valores de </w:t>
            </w:r>
            <w:r>
              <w:rPr>
                <w:rFonts w:eastAsia="SimSun" w:cs="Times New Roman" w:ascii="Times New Roman" w:hAnsi="Times New Roman"/>
                <w:b/>
                <w:i/>
                <w:w w:val="105"/>
                <w:sz w:val="24"/>
                <w:szCs w:val="24"/>
                <w:lang w:eastAsia="pt-BR"/>
              </w:rPr>
              <w:t>k</w:t>
            </w:r>
            <w:r>
              <w:rPr>
                <w:rFonts w:eastAsia="SimSun" w:cs="Times New Roman" w:ascii="Times New Roman" w:hAnsi="Times New Roman"/>
                <w:w w:val="105"/>
                <w:sz w:val="24"/>
                <w:szCs w:val="24"/>
                <w:lang w:eastAsia="pt-BR"/>
              </w:rPr>
              <w:t xml:space="preserve"> do pó fluxante A ....................................................................</w:t>
            </w:r>
          </w:p>
        </w:tc>
        <w:tc>
          <w:tcPr>
            <w:tcW w:w="549"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67</w:t>
            </w:r>
          </w:p>
        </w:tc>
      </w:tr>
      <w:tr>
        <w:trPr/>
        <w:tc>
          <w:tcPr>
            <w:tcW w:w="8642" w:type="dxa"/>
            <w:tcBorders>
              <w:top w:val="nil"/>
              <w:left w:val="nil"/>
              <w:bottom w:val="nil"/>
              <w:right w:val="nil"/>
              <w:insideH w:val="nil"/>
              <w:insideV w:val="nil"/>
            </w:tcBorders>
            <w:shd w:fill="auto" w:val="clear"/>
          </w:tcPr>
          <w:p>
            <w:pPr>
              <w:pStyle w:val="Normal"/>
              <w:spacing w:lineRule="auto" w:line="360" w:before="0" w:after="0"/>
              <w:ind w:right="61" w:hanging="0"/>
              <w:jc w:val="both"/>
              <w:rPr>
                <w:color w:val="FF0000"/>
                <w:sz w:val="24"/>
                <w:szCs w:val="24"/>
              </w:rPr>
            </w:pPr>
            <w:r>
              <w:rPr>
                <w:rFonts w:eastAsia="SimSun" w:cs="Times New Roman" w:ascii="Times New Roman" w:hAnsi="Times New Roman"/>
                <w:sz w:val="24"/>
                <w:szCs w:val="24"/>
                <w:lang w:eastAsia="pt-BR"/>
              </w:rPr>
              <w:t>Tabela 6 - Valores de n e k dos pós fluxantes em diferentes isotermas ..............................</w:t>
            </w:r>
          </w:p>
        </w:tc>
        <w:tc>
          <w:tcPr>
            <w:tcW w:w="549" w:type="dxa"/>
            <w:tcBorders>
              <w:top w:val="nil"/>
              <w:left w:val="nil"/>
              <w:bottom w:val="nil"/>
              <w:right w:val="nil"/>
              <w:insideH w:val="nil"/>
              <w:insideV w:val="nil"/>
            </w:tcBorders>
            <w:shd w:fill="auto" w:val="clear"/>
            <w:vAlign w:val="bottom"/>
          </w:tcPr>
          <w:p>
            <w:pPr>
              <w:pStyle w:val="Corpodetexto"/>
              <w:spacing w:lineRule="auto" w:line="360" w:before="0" w:after="0"/>
              <w:jc w:val="right"/>
              <w:rPr>
                <w:sz w:val="24"/>
                <w:szCs w:val="24"/>
              </w:rPr>
            </w:pPr>
            <w:r>
              <w:rPr>
                <w:rFonts w:eastAsia="SimSun" w:cs="Times New Roman" w:ascii="Times New Roman" w:hAnsi="Times New Roman"/>
                <w:sz w:val="24"/>
                <w:szCs w:val="24"/>
                <w:lang w:eastAsia="pt-BR"/>
              </w:rPr>
              <w:t>67</w:t>
            </w:r>
          </w:p>
        </w:tc>
      </w:tr>
    </w:tbl>
    <w:p>
      <w:pPr>
        <w:pStyle w:val="Corpodetexto"/>
        <w:spacing w:lineRule="auto" w:line="360" w:before="0" w:after="0"/>
        <w:jc w:val="center"/>
        <w:rPr>
          <w:rFonts w:ascii="Times New Roman" w:hAnsi="Times New Roman" w:cs="Times New Roman"/>
          <w:b/>
          <w:b/>
          <w:bCs/>
        </w:rPr>
      </w:pPr>
      <w:r>
        <w:br w:type="page"/>
      </w:r>
      <w:r>
        <w:rPr>
          <w:rFonts w:cs="Times New Roman" w:ascii="Times New Roman" w:hAnsi="Times New Roman"/>
          <w:b/>
          <w:bCs/>
        </w:rPr>
        <w:t>LISTA DE ABREVIATURAS E SIGLAS</w:t>
      </w:r>
      <w:bookmarkStart w:id="22" w:name="_Hlk156897599"/>
      <w:bookmarkEnd w:id="22"/>
    </w:p>
    <w:p>
      <w:pPr>
        <w:pStyle w:val="Corpodetexto"/>
        <w:spacing w:lineRule="auto" w:line="360" w:before="0" w:after="0"/>
        <w:jc w:val="center"/>
        <w:rPr>
          <w:rFonts w:ascii="Times New Roman" w:hAnsi="Times New Roman" w:cs="Times New Roman"/>
          <w:b/>
          <w:b/>
          <w:bCs/>
          <w:color w:val="FF0000"/>
        </w:rPr>
      </w:pPr>
      <w:r>
        <w:rPr>
          <w:rFonts w:cs="Times New Roman" w:ascii="Times New Roman" w:hAnsi="Times New Roman"/>
          <w:b/>
          <w:bCs/>
          <w:color w:val="FF0000"/>
        </w:rPr>
      </w:r>
    </w:p>
    <w:tbl>
      <w:tblPr>
        <w:tblW w:w="8643" w:type="dxa"/>
        <w:jc w:val="left"/>
        <w:tblInd w:w="45" w:type="dxa"/>
        <w:tblBorders/>
        <w:tblCellMar>
          <w:top w:w="0" w:type="dxa"/>
          <w:left w:w="108" w:type="dxa"/>
          <w:bottom w:w="0" w:type="dxa"/>
          <w:right w:w="108" w:type="dxa"/>
        </w:tblCellMar>
        <w:tblLook w:noVBand="0" w:val="0000" w:noHBand="0" w:lastColumn="0" w:firstColumn="0" w:lastRow="0" w:firstRow="0"/>
      </w:tblPr>
      <w:tblGrid>
        <w:gridCol w:w="1055"/>
        <w:gridCol w:w="7587"/>
      </w:tblGrid>
      <w:tr>
        <w:trPr/>
        <w:tc>
          <w:tcPr>
            <w:tcW w:w="1055"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i/>
                <w:iCs/>
                <w:color w:val="000000"/>
                <w:sz w:val="24"/>
                <w:szCs w:val="24"/>
              </w:rPr>
              <w:t>Bi</w:t>
            </w:r>
          </w:p>
        </w:tc>
        <w:tc>
          <w:tcPr>
            <w:tcW w:w="7587"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iCs/>
                <w:color w:val="000000"/>
                <w:sz w:val="24"/>
                <w:szCs w:val="24"/>
              </w:rPr>
              <w:t>Índice de basicidade</w:t>
            </w:r>
          </w:p>
        </w:tc>
      </w:tr>
      <w:tr>
        <w:trPr/>
        <w:tc>
          <w:tcPr>
            <w:tcW w:w="1055" w:type="dxa"/>
            <w:tcBorders/>
            <w:shd w:fill="auto" w:val="clear"/>
          </w:tcPr>
          <w:p>
            <w:pPr>
              <w:pStyle w:val="Contedodatabela"/>
              <w:spacing w:lineRule="auto" w:line="360" w:before="0" w:after="0"/>
              <w:rPr>
                <w:rFonts w:ascii="Times New Roman" w:hAnsi="Times New Roman" w:cs="Times New Roman"/>
                <w:i/>
                <w:i/>
                <w:iCs/>
                <w:sz w:val="24"/>
                <w:szCs w:val="24"/>
              </w:rPr>
            </w:pPr>
            <w:r>
              <w:rPr>
                <w:rFonts w:cs="Times New Roman" w:ascii="Times New Roman" w:hAnsi="Times New Roman"/>
                <w:i/>
                <w:iCs/>
                <w:sz w:val="24"/>
                <w:szCs w:val="24"/>
              </w:rPr>
              <w:t>BSE</w:t>
            </w:r>
          </w:p>
        </w:tc>
        <w:tc>
          <w:tcPr>
            <w:tcW w:w="7587" w:type="dxa"/>
            <w:tcBorders/>
            <w:shd w:fill="auto" w:val="clear"/>
          </w:tcPr>
          <w:p>
            <w:pPr>
              <w:pStyle w:val="Contedodatabela"/>
              <w:spacing w:lineRule="auto" w:line="360" w:before="0" w:after="0"/>
              <w:rPr>
                <w:rFonts w:ascii="Times New Roman" w:hAnsi="Times New Roman" w:cs="Times New Roman"/>
                <w:iCs/>
                <w:sz w:val="24"/>
                <w:szCs w:val="24"/>
              </w:rPr>
            </w:pPr>
            <w:r>
              <w:rPr>
                <w:rFonts w:cs="Times New Roman" w:ascii="Times New Roman" w:hAnsi="Times New Roman"/>
                <w:sz w:val="24"/>
                <w:szCs w:val="24"/>
              </w:rPr>
              <w:t>Microscopia de Elétrons Retroespalhados</w:t>
            </w:r>
          </w:p>
        </w:tc>
      </w:tr>
      <w:tr>
        <w:trPr/>
        <w:tc>
          <w:tcPr>
            <w:tcW w:w="1055"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szCs w:val="24"/>
              </w:rPr>
              <w:t>CCC</w:t>
            </w:r>
          </w:p>
        </w:tc>
        <w:tc>
          <w:tcPr>
            <w:tcW w:w="7587"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szCs w:val="24"/>
              </w:rPr>
              <w:t>Cúbica Corpo Centrado</w:t>
            </w:r>
          </w:p>
        </w:tc>
      </w:tr>
      <w:tr>
        <w:trPr/>
        <w:tc>
          <w:tcPr>
            <w:tcW w:w="1055"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szCs w:val="24"/>
              </w:rPr>
              <w:t>CFC</w:t>
            </w:r>
          </w:p>
        </w:tc>
        <w:tc>
          <w:tcPr>
            <w:tcW w:w="7587"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szCs w:val="24"/>
              </w:rPr>
              <w:t>Cúbica Face Centrada</w:t>
            </w:r>
          </w:p>
        </w:tc>
      </w:tr>
      <w:tr>
        <w:trPr/>
        <w:tc>
          <w:tcPr>
            <w:tcW w:w="1055" w:type="dxa"/>
            <w:tcBorders/>
            <w:shd w:fill="auto" w:val="clear"/>
          </w:tcPr>
          <w:p>
            <w:pPr>
              <w:pStyle w:val="Contedodatabela"/>
              <w:spacing w:lineRule="auto" w:line="360" w:before="0" w:after="0"/>
              <w:rPr>
                <w:rFonts w:ascii="Times New Roman" w:hAnsi="Times New Roman"/>
                <w:i/>
                <w:i/>
                <w:sz w:val="24"/>
                <w:szCs w:val="24"/>
              </w:rPr>
            </w:pPr>
            <w:r>
              <w:rPr>
                <w:rFonts w:cs="Times New Roman" w:ascii="Times New Roman" w:hAnsi="Times New Roman"/>
                <w:color w:val="000000"/>
                <w:sz w:val="24"/>
                <w:szCs w:val="24"/>
              </w:rPr>
              <w:t>DSC</w:t>
            </w:r>
          </w:p>
        </w:tc>
        <w:tc>
          <w:tcPr>
            <w:tcW w:w="7587" w:type="dxa"/>
            <w:tcBorders/>
            <w:shd w:fill="auto" w:val="clear"/>
          </w:tcPr>
          <w:p>
            <w:pPr>
              <w:pStyle w:val="Contedodatabela"/>
              <w:spacing w:lineRule="auto" w:line="360" w:before="0" w:after="0"/>
              <w:rPr>
                <w:rFonts w:ascii="Times New Roman" w:hAnsi="Times New Roman"/>
                <w:sz w:val="24"/>
                <w:szCs w:val="24"/>
              </w:rPr>
            </w:pPr>
            <w:r>
              <w:rPr>
                <w:rFonts w:cs="Times New Roman" w:ascii="Times New Roman" w:hAnsi="Times New Roman"/>
                <w:color w:val="000000"/>
                <w:sz w:val="24"/>
                <w:szCs w:val="24"/>
              </w:rPr>
              <w:t>C</w:t>
            </w:r>
            <w:r>
              <w:rPr>
                <w:rFonts w:cs="Times New Roman" w:ascii="Times New Roman" w:hAnsi="Times New Roman"/>
                <w:bCs/>
                <w:iCs/>
                <w:color w:val="000000"/>
                <w:sz w:val="24"/>
                <w:szCs w:val="24"/>
              </w:rPr>
              <w:t xml:space="preserve">alorimetria Exploratória Diferencial </w:t>
            </w:r>
          </w:p>
        </w:tc>
      </w:tr>
      <w:tr>
        <w:trPr/>
        <w:tc>
          <w:tcPr>
            <w:tcW w:w="1055" w:type="dxa"/>
            <w:tcBorders/>
            <w:shd w:fill="auto" w:val="clear"/>
          </w:tcPr>
          <w:p>
            <w:pPr>
              <w:pStyle w:val="Contedodatabela"/>
              <w:spacing w:lineRule="auto" w:line="360" w:before="0" w:after="0"/>
              <w:rPr>
                <w:rFonts w:ascii="Times New Roman" w:hAnsi="Times New Roman" w:cs="Times New Roman"/>
                <w:color w:val="FF0000"/>
              </w:rPr>
            </w:pPr>
            <w:r>
              <w:rPr>
                <w:rFonts w:ascii="Times New Roman" w:hAnsi="Times New Roman"/>
                <w:i/>
                <w:sz w:val="24"/>
                <w:szCs w:val="24"/>
              </w:rPr>
              <w:t>Ea</w:t>
            </w:r>
          </w:p>
        </w:tc>
        <w:tc>
          <w:tcPr>
            <w:tcW w:w="7587" w:type="dxa"/>
            <w:tcBorders/>
            <w:shd w:fill="auto" w:val="clear"/>
          </w:tcPr>
          <w:p>
            <w:pPr>
              <w:pStyle w:val="Contedodatabela"/>
              <w:spacing w:lineRule="auto" w:line="360" w:before="0" w:after="0"/>
              <w:rPr>
                <w:rFonts w:ascii="Times New Roman" w:hAnsi="Times New Roman" w:cs="Times New Roman"/>
                <w:color w:val="FF0000"/>
                <w:lang w:val="en-US"/>
              </w:rPr>
            </w:pPr>
            <w:r>
              <w:rPr>
                <w:rFonts w:ascii="Times New Roman" w:hAnsi="Times New Roman"/>
                <w:sz w:val="24"/>
                <w:szCs w:val="24"/>
              </w:rPr>
              <w:t>Energia de ativação de cristalização</w:t>
            </w:r>
          </w:p>
        </w:tc>
      </w:tr>
      <w:tr>
        <w:trPr/>
        <w:tc>
          <w:tcPr>
            <w:tcW w:w="1055"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i/>
                <w:sz w:val="24"/>
                <w:szCs w:val="24"/>
              </w:rPr>
              <w:t>exp</w:t>
            </w:r>
          </w:p>
        </w:tc>
        <w:tc>
          <w:tcPr>
            <w:tcW w:w="7587"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szCs w:val="24"/>
              </w:rPr>
              <w:t>Exponencial</w:t>
            </w:r>
            <w:r>
              <w:rPr>
                <w:rFonts w:cs="Times New Roman" w:ascii="Times New Roman" w:hAnsi="Times New Roman"/>
                <w:i/>
                <w:sz w:val="24"/>
                <w:szCs w:val="24"/>
              </w:rPr>
              <w:t xml:space="preserve"> </w:t>
            </w:r>
          </w:p>
        </w:tc>
      </w:tr>
      <w:tr>
        <w:trPr/>
        <w:tc>
          <w:tcPr>
            <w:tcW w:w="1055" w:type="dxa"/>
            <w:tcBorders/>
            <w:shd w:fill="auto" w:val="clear"/>
          </w:tcPr>
          <w:p>
            <w:pPr>
              <w:pStyle w:val="Contedodatabela"/>
              <w:spacing w:lineRule="auto" w:line="360" w:before="0" w:after="0"/>
              <w:rPr>
                <w:rFonts w:ascii="Times New Roman" w:hAnsi="Times New Roman" w:cs="Times New Roman"/>
                <w:i/>
                <w:i/>
                <w:sz w:val="24"/>
                <w:szCs w:val="24"/>
              </w:rPr>
            </w:pPr>
            <w:r>
              <w:rPr>
                <w:rFonts w:cs="Times New Roman" w:ascii="Times New Roman" w:hAnsi="Times New Roman"/>
                <w:sz w:val="24"/>
              </w:rPr>
              <w:t>JMAK</w:t>
            </w:r>
          </w:p>
        </w:tc>
        <w:tc>
          <w:tcPr>
            <w:tcW w:w="7587"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sz w:val="24"/>
              </w:rPr>
              <w:t>Johnson-Mehl-Avrami-Kolmogorov</w:t>
            </w:r>
          </w:p>
        </w:tc>
      </w:tr>
      <w:tr>
        <w:trPr/>
        <w:tc>
          <w:tcPr>
            <w:tcW w:w="1055" w:type="dxa"/>
            <w:tcBorders/>
            <w:shd w:fill="auto" w:val="clear"/>
          </w:tcPr>
          <w:p>
            <w:pPr>
              <w:pStyle w:val="Contedodatabela"/>
              <w:spacing w:lineRule="auto" w:line="360" w:before="0" w:after="0"/>
              <w:rPr>
                <w:rFonts w:ascii="Times New Roman" w:hAnsi="Times New Roman" w:cs="Times New Roman"/>
                <w:i/>
                <w:i/>
                <w:sz w:val="24"/>
                <w:szCs w:val="24"/>
              </w:rPr>
            </w:pPr>
            <w:r>
              <w:rPr>
                <w:rFonts w:cs="Times New Roman" w:ascii="Times New Roman" w:hAnsi="Times New Roman"/>
                <w:i/>
                <w:sz w:val="24"/>
                <w:szCs w:val="24"/>
              </w:rPr>
              <w:t>k</w:t>
            </w:r>
            <w:r>
              <w:rPr>
                <w:rFonts w:cs="Times New Roman" w:ascii="Times New Roman" w:hAnsi="Times New Roman"/>
                <w:i/>
                <w:sz w:val="24"/>
                <w:szCs w:val="24"/>
                <w:vertAlign w:val="subscript"/>
              </w:rPr>
              <w:t>b</w:t>
            </w:r>
          </w:p>
        </w:tc>
        <w:tc>
          <w:tcPr>
            <w:tcW w:w="7587"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sz w:val="24"/>
                <w:szCs w:val="24"/>
              </w:rPr>
              <w:t>Constante de Boltzmann</w:t>
            </w:r>
          </w:p>
        </w:tc>
      </w:tr>
      <w:tr>
        <w:trPr/>
        <w:tc>
          <w:tcPr>
            <w:tcW w:w="1055" w:type="dxa"/>
            <w:tcBorders/>
            <w:shd w:fill="auto" w:val="clear"/>
          </w:tcPr>
          <w:p>
            <w:pPr>
              <w:pStyle w:val="Contedodatabela"/>
              <w:spacing w:lineRule="auto" w:line="360" w:before="0" w:after="0"/>
              <w:rPr>
                <w:rFonts w:ascii="Times New Roman" w:hAnsi="Times New Roman" w:cs="Times New Roman"/>
                <w:i/>
                <w:i/>
                <w:iCs/>
                <w:sz w:val="24"/>
                <w:szCs w:val="24"/>
              </w:rPr>
            </w:pPr>
            <w:r>
              <w:rPr>
                <w:rFonts w:cs="Times New Roman" w:ascii="Times New Roman" w:hAnsi="Times New Roman"/>
                <w:i/>
                <w:iCs/>
                <w:sz w:val="24"/>
                <w:szCs w:val="24"/>
              </w:rPr>
              <w:t>MEV</w:t>
            </w:r>
          </w:p>
        </w:tc>
        <w:tc>
          <w:tcPr>
            <w:tcW w:w="7587" w:type="dxa"/>
            <w:tcBorders/>
            <w:shd w:fill="auto" w:val="clear"/>
          </w:tcPr>
          <w:p>
            <w:pPr>
              <w:pStyle w:val="Contedodatabela"/>
              <w:spacing w:lineRule="auto" w:line="360" w:before="0" w:after="0"/>
              <w:rPr>
                <w:rFonts w:ascii="Times New Roman" w:hAnsi="Times New Roman" w:cs="Times New Roman"/>
                <w:iCs/>
                <w:sz w:val="24"/>
                <w:szCs w:val="24"/>
              </w:rPr>
            </w:pPr>
            <w:r>
              <w:rPr>
                <w:rFonts w:cs="Times New Roman" w:ascii="Times New Roman" w:hAnsi="Times New Roman"/>
                <w:iCs/>
                <w:sz w:val="24"/>
                <w:szCs w:val="24"/>
              </w:rPr>
              <w:t xml:space="preserve">Microscopia Eletrônica de Varredura </w:t>
            </w:r>
          </w:p>
        </w:tc>
      </w:tr>
      <w:tr>
        <w:trPr/>
        <w:tc>
          <w:tcPr>
            <w:tcW w:w="1055"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szCs w:val="24"/>
              </w:rPr>
              <w:t>r</w:t>
            </w:r>
          </w:p>
        </w:tc>
        <w:tc>
          <w:tcPr>
            <w:tcW w:w="7587" w:type="dxa"/>
            <w:tcBorders/>
            <w:shd w:fill="auto" w:val="clear"/>
          </w:tcPr>
          <w:p>
            <w:pPr>
              <w:pStyle w:val="Contedodatabela"/>
              <w:spacing w:lineRule="auto" w:line="360" w:before="0" w:after="0"/>
              <w:rPr>
                <w:rFonts w:ascii="Times New Roman" w:hAnsi="Times New Roman" w:cs="Times New Roman"/>
                <w:color w:val="FF0000"/>
                <w:lang w:val="en-US"/>
              </w:rPr>
            </w:pPr>
            <w:r>
              <w:rPr>
                <w:rFonts w:cs="Times New Roman" w:ascii="Times New Roman" w:hAnsi="Times New Roman"/>
                <w:sz w:val="24"/>
                <w:szCs w:val="24"/>
              </w:rPr>
              <w:t>Raio</w:t>
            </w:r>
          </w:p>
        </w:tc>
      </w:tr>
      <w:tr>
        <w:trPr/>
        <w:tc>
          <w:tcPr>
            <w:tcW w:w="1055"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i/>
                <w:sz w:val="24"/>
                <w:szCs w:val="24"/>
              </w:rPr>
              <w:t>r*</w:t>
            </w:r>
          </w:p>
        </w:tc>
        <w:tc>
          <w:tcPr>
            <w:tcW w:w="7587" w:type="dxa"/>
            <w:tcBorders/>
            <w:shd w:fill="auto" w:val="clear"/>
          </w:tcPr>
          <w:p>
            <w:pPr>
              <w:pStyle w:val="Contedodatabela"/>
              <w:spacing w:lineRule="auto" w:line="360" w:before="0" w:after="0"/>
              <w:rPr>
                <w:rFonts w:ascii="Times New Roman" w:hAnsi="Times New Roman" w:cs="Times New Roman"/>
                <w:color w:val="FF0000"/>
                <w:lang w:val="en-US"/>
              </w:rPr>
            </w:pPr>
            <w:r>
              <w:rPr>
                <w:rFonts w:cs="Times New Roman" w:ascii="Times New Roman" w:hAnsi="Times New Roman"/>
                <w:sz w:val="24"/>
                <w:szCs w:val="24"/>
              </w:rPr>
              <w:t>Raio crítico</w:t>
            </w:r>
          </w:p>
        </w:tc>
      </w:tr>
      <w:tr>
        <w:trPr/>
        <w:tc>
          <w:tcPr>
            <w:tcW w:w="1055" w:type="dxa"/>
            <w:tcBorders/>
            <w:shd w:fill="auto" w:val="clear"/>
          </w:tcPr>
          <w:p>
            <w:pPr>
              <w:pStyle w:val="Contedodatabela"/>
              <w:spacing w:lineRule="auto" w:line="360" w:before="0" w:after="0"/>
              <w:rPr>
                <w:rFonts w:ascii="Times New Roman" w:hAnsi="Times New Roman" w:cs="Times New Roman"/>
                <w:color w:val="FF0000"/>
                <w:lang w:val="en-US"/>
              </w:rPr>
            </w:pPr>
            <w:r>
              <w:rPr>
                <w:rFonts w:cs="Times New Roman" w:ascii="Times New Roman" w:hAnsi="Times New Roman"/>
                <w:i/>
                <w:iCs/>
                <w:color w:val="000000"/>
                <w:sz w:val="24"/>
                <w:szCs w:val="24"/>
              </w:rPr>
              <w:t>T</w:t>
            </w:r>
          </w:p>
        </w:tc>
        <w:tc>
          <w:tcPr>
            <w:tcW w:w="7587"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iCs/>
                <w:color w:val="000000"/>
                <w:sz w:val="24"/>
                <w:szCs w:val="24"/>
              </w:rPr>
              <w:t>Temperatura absoluta</w:t>
            </w:r>
            <w:r>
              <w:rPr>
                <w:rFonts w:cs="Times New Roman" w:ascii="Times New Roman" w:hAnsi="Times New Roman"/>
                <w:i/>
                <w:iCs/>
                <w:color w:val="000000"/>
                <w:sz w:val="24"/>
                <w:szCs w:val="24"/>
              </w:rPr>
              <w:t xml:space="preserve"> </w:t>
            </w:r>
          </w:p>
        </w:tc>
      </w:tr>
      <w:tr>
        <w:trPr/>
        <w:tc>
          <w:tcPr>
            <w:tcW w:w="1055"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i/>
                <w:sz w:val="24"/>
                <w:szCs w:val="24"/>
              </w:rPr>
              <w:t>T</w:t>
            </w:r>
            <w:r>
              <w:rPr>
                <w:rFonts w:cs="Times New Roman" w:ascii="Times New Roman" w:hAnsi="Times New Roman"/>
                <w:i/>
                <w:sz w:val="24"/>
                <w:szCs w:val="24"/>
                <w:vertAlign w:val="subscript"/>
              </w:rPr>
              <w:t>c</w:t>
            </w:r>
          </w:p>
        </w:tc>
        <w:tc>
          <w:tcPr>
            <w:tcW w:w="7587" w:type="dxa"/>
            <w:tcBorders/>
            <w:shd w:fill="auto" w:val="clear"/>
          </w:tcPr>
          <w:p>
            <w:pPr>
              <w:pStyle w:val="Contedodatabela"/>
              <w:spacing w:lineRule="auto" w:line="360" w:before="0" w:after="0"/>
              <w:rPr>
                <w:rFonts w:ascii="Times New Roman" w:hAnsi="Times New Roman" w:cs="Times New Roman"/>
                <w:color w:val="FF0000"/>
                <w:lang w:val="en-US"/>
              </w:rPr>
            </w:pPr>
            <w:r>
              <w:rPr>
                <w:rFonts w:cs="Times New Roman" w:ascii="Times New Roman" w:hAnsi="Times New Roman"/>
                <w:sz w:val="24"/>
                <w:szCs w:val="24"/>
              </w:rPr>
              <w:t>Temperatura de cristalização</w:t>
            </w:r>
          </w:p>
        </w:tc>
      </w:tr>
      <w:tr>
        <w:trPr/>
        <w:tc>
          <w:tcPr>
            <w:tcW w:w="1055"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i/>
                <w:sz w:val="24"/>
                <w:szCs w:val="24"/>
              </w:rPr>
              <w:t>T</w:t>
            </w:r>
            <w:r>
              <w:rPr>
                <w:rFonts w:cs="Times New Roman" w:ascii="Times New Roman" w:hAnsi="Times New Roman"/>
                <w:i/>
                <w:sz w:val="24"/>
                <w:szCs w:val="24"/>
                <w:vertAlign w:val="subscript"/>
              </w:rPr>
              <w:t>g</w:t>
            </w:r>
          </w:p>
        </w:tc>
        <w:tc>
          <w:tcPr>
            <w:tcW w:w="7587" w:type="dxa"/>
            <w:tcBorders/>
            <w:shd w:fill="auto" w:val="clear"/>
          </w:tcPr>
          <w:p>
            <w:pPr>
              <w:pStyle w:val="Contedodatabela"/>
              <w:spacing w:lineRule="auto" w:line="360" w:before="0" w:after="0"/>
              <w:rPr>
                <w:rFonts w:ascii="Times New Roman" w:hAnsi="Times New Roman" w:cs="Times New Roman"/>
                <w:color w:val="FF0000"/>
                <w:lang w:val="en-US"/>
              </w:rPr>
            </w:pPr>
            <w:r>
              <w:rPr>
                <w:rFonts w:cs="Times New Roman" w:ascii="Times New Roman" w:hAnsi="Times New Roman"/>
                <w:sz w:val="24"/>
                <w:szCs w:val="24"/>
              </w:rPr>
              <w:t>T</w:t>
            </w:r>
            <w:r>
              <w:rPr>
                <w:rFonts w:cs="Times New Roman" w:ascii="Times New Roman" w:hAnsi="Times New Roman"/>
                <w:color w:val="000000"/>
                <w:sz w:val="23"/>
                <w:szCs w:val="23"/>
              </w:rPr>
              <w:t>emperatura de transição vítrea</w:t>
            </w:r>
          </w:p>
        </w:tc>
      </w:tr>
      <w:tr>
        <w:trPr/>
        <w:tc>
          <w:tcPr>
            <w:tcW w:w="1055"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i/>
                <w:color w:val="000000"/>
                <w:sz w:val="23"/>
                <w:szCs w:val="23"/>
              </w:rPr>
              <w:t>T</w:t>
            </w:r>
            <w:r>
              <w:rPr>
                <w:rFonts w:cs="Times New Roman" w:ascii="Times New Roman" w:hAnsi="Times New Roman"/>
                <w:i/>
                <w:color w:val="000000"/>
                <w:sz w:val="23"/>
                <w:szCs w:val="23"/>
                <w:vertAlign w:val="subscript"/>
              </w:rPr>
              <w:t>l</w:t>
            </w:r>
          </w:p>
        </w:tc>
        <w:tc>
          <w:tcPr>
            <w:tcW w:w="7587" w:type="dxa"/>
            <w:tcBorders/>
            <w:shd w:fill="auto" w:val="clear"/>
          </w:tcPr>
          <w:p>
            <w:pPr>
              <w:pStyle w:val="Contedodatabela"/>
              <w:spacing w:lineRule="auto" w:line="360" w:before="0" w:after="0"/>
              <w:rPr>
                <w:rFonts w:ascii="Times New Roman" w:hAnsi="Times New Roman" w:cs="Times New Roman"/>
                <w:color w:val="FF0000"/>
                <w:lang w:val="en-US"/>
              </w:rPr>
            </w:pPr>
            <w:r>
              <w:rPr>
                <w:rFonts w:cs="Times New Roman" w:ascii="Times New Roman" w:hAnsi="Times New Roman"/>
                <w:color w:val="000000"/>
                <w:sz w:val="23"/>
                <w:szCs w:val="23"/>
              </w:rPr>
              <w:t xml:space="preserve">Temperatura </w:t>
            </w:r>
            <w:r>
              <w:rPr>
                <w:rFonts w:cs="Times New Roman" w:ascii="Times New Roman" w:hAnsi="Times New Roman"/>
                <w:i/>
                <w:color w:val="000000"/>
                <w:sz w:val="23"/>
                <w:szCs w:val="23"/>
              </w:rPr>
              <w:t>liquidus</w:t>
            </w:r>
          </w:p>
        </w:tc>
      </w:tr>
      <w:tr>
        <w:trPr/>
        <w:tc>
          <w:tcPr>
            <w:tcW w:w="1055" w:type="dxa"/>
            <w:tcBorders/>
            <w:shd w:fill="auto" w:val="clear"/>
          </w:tcPr>
          <w:p>
            <w:pPr>
              <w:pStyle w:val="Contedodatabela"/>
              <w:spacing w:lineRule="auto" w:line="360" w:before="0" w:after="0"/>
              <w:rPr>
                <w:rFonts w:ascii="Times New Roman" w:hAnsi="Times New Roman" w:cs="Times New Roman"/>
                <w:i/>
                <w:i/>
                <w:sz w:val="24"/>
                <w:szCs w:val="24"/>
              </w:rPr>
            </w:pPr>
            <w:r>
              <w:rPr>
                <w:rFonts w:cs="Times New Roman" w:ascii="Times New Roman" w:hAnsi="Times New Roman"/>
                <w:sz w:val="24"/>
                <w:szCs w:val="24"/>
              </w:rPr>
              <w:t>V</w:t>
            </w:r>
            <w:r>
              <w:rPr>
                <w:rFonts w:cs="Times New Roman" w:ascii="Times New Roman" w:hAnsi="Times New Roman"/>
                <w:sz w:val="24"/>
                <w:szCs w:val="24"/>
                <w:vertAlign w:val="subscript"/>
              </w:rPr>
              <w:t>m</w:t>
            </w:r>
          </w:p>
        </w:tc>
        <w:tc>
          <w:tcPr>
            <w:tcW w:w="7587"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sz w:val="24"/>
                <w:szCs w:val="24"/>
              </w:rPr>
              <w:t>Volume molar da fase cristalina</w:t>
            </w:r>
          </w:p>
        </w:tc>
      </w:tr>
    </w:tbl>
    <w:p>
      <w:pPr>
        <w:pStyle w:val="Corpodetexto"/>
        <w:spacing w:lineRule="auto" w:line="360" w:before="0" w:after="0"/>
        <w:jc w:val="center"/>
        <w:rPr>
          <w:rFonts w:ascii="Times New Roman" w:hAnsi="Times New Roman" w:cs="Times New Roman"/>
          <w:b/>
          <w:b/>
          <w:bCs/>
        </w:rPr>
      </w:pPr>
      <w:r>
        <w:br w:type="page"/>
      </w:r>
      <w:r>
        <w:rPr>
          <w:rFonts w:cs="Times New Roman" w:ascii="Times New Roman" w:hAnsi="Times New Roman"/>
          <w:b/>
          <w:bCs/>
        </w:rPr>
        <w:t>LISTA DE SÍMBOLOS</w:t>
      </w:r>
    </w:p>
    <w:p>
      <w:pPr>
        <w:pStyle w:val="Corpodetexto"/>
        <w:spacing w:lineRule="auto" w:line="360" w:before="0" w:after="0"/>
        <w:jc w:val="center"/>
        <w:rPr>
          <w:rFonts w:ascii="Times New Roman" w:hAnsi="Times New Roman" w:cs="Times New Roman"/>
          <w:b/>
          <w:b/>
          <w:bCs/>
          <w:color w:val="FF0000"/>
        </w:rPr>
      </w:pPr>
      <w:r>
        <w:rPr>
          <w:rFonts w:cs="Times New Roman" w:ascii="Times New Roman" w:hAnsi="Times New Roman"/>
          <w:b/>
          <w:bCs/>
          <w:color w:val="FF0000"/>
        </w:rPr>
      </w:r>
    </w:p>
    <w:tbl>
      <w:tblPr>
        <w:tblW w:w="8643" w:type="dxa"/>
        <w:jc w:val="left"/>
        <w:tblInd w:w="45" w:type="dxa"/>
        <w:tblBorders/>
        <w:tblCellMar>
          <w:top w:w="0" w:type="dxa"/>
          <w:left w:w="108" w:type="dxa"/>
          <w:bottom w:w="0" w:type="dxa"/>
          <w:right w:w="108" w:type="dxa"/>
        </w:tblCellMar>
        <w:tblLook w:noVBand="0" w:val="0000" w:noHBand="0" w:lastColumn="0" w:firstColumn="0" w:lastRow="0" w:firstRow="0"/>
      </w:tblPr>
      <w:tblGrid>
        <w:gridCol w:w="942"/>
        <w:gridCol w:w="7700"/>
      </w:tblGrid>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color w:val="FF0000"/>
              </w:rPr>
            </w:pPr>
            <w:r>
              <w:rPr>
                <w:rFonts w:cs="Times New Roman" w:ascii="Times New Roman" w:hAnsi="Times New Roman"/>
                <w:b/>
                <w:sz w:val="24"/>
                <w:szCs w:val="24"/>
              </w:rPr>
              <w:t>π</w:t>
            </w:r>
          </w:p>
        </w:tc>
        <w:tc>
          <w:tcPr>
            <w:tcW w:w="7700"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szCs w:val="24"/>
              </w:rPr>
              <w:t>Pi (3,14)</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color w:val="FF0000"/>
              </w:rPr>
            </w:pPr>
            <w:r>
              <w:rPr>
                <w:rFonts w:cs="Times New Roman" w:ascii="Times New Roman" w:hAnsi="Times New Roman"/>
                <w:b/>
                <w:i/>
                <w:sz w:val="24"/>
                <w:szCs w:val="24"/>
              </w:rPr>
              <w:t>%C</w:t>
            </w:r>
          </w:p>
        </w:tc>
        <w:tc>
          <w:tcPr>
            <w:tcW w:w="7700"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szCs w:val="24"/>
              </w:rPr>
              <w:t>Porcentagem de carbono</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color w:val="FF0000"/>
              </w:rPr>
            </w:pPr>
            <w:r>
              <w:rPr>
                <w:rFonts w:cs="Times New Roman" w:ascii="Times New Roman" w:hAnsi="Times New Roman"/>
                <w:b/>
                <w:i/>
                <w:sz w:val="24"/>
                <w:szCs w:val="24"/>
              </w:rPr>
              <w:t>γ</w:t>
            </w:r>
          </w:p>
        </w:tc>
        <w:tc>
          <w:tcPr>
            <w:tcW w:w="7700"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szCs w:val="24"/>
              </w:rPr>
              <w:t xml:space="preserve">Austenita </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color w:val="FF0000"/>
              </w:rPr>
            </w:pPr>
            <w:r>
              <w:rPr>
                <w:rFonts w:cs="Times New Roman" w:ascii="Times New Roman" w:hAnsi="Times New Roman"/>
                <w:b/>
                <w:sz w:val="24"/>
              </w:rPr>
              <w:t>δ</w:t>
            </w:r>
          </w:p>
        </w:tc>
        <w:tc>
          <w:tcPr>
            <w:tcW w:w="7700"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rPr>
              <w:t>Ferrita Delta</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color w:val="FF0000"/>
              </w:rPr>
            </w:pPr>
            <w:r>
              <w:rPr>
                <w:rFonts w:cs="Times New Roman" w:ascii="Times New Roman" w:hAnsi="Times New Roman"/>
                <w:b/>
                <w:sz w:val="24"/>
                <w:szCs w:val="24"/>
              </w:rPr>
              <w:t>pH</w:t>
            </w:r>
          </w:p>
        </w:tc>
        <w:tc>
          <w:tcPr>
            <w:tcW w:w="7700"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szCs w:val="24"/>
                <w:shd w:fill="FFFFFF" w:val="clear"/>
              </w:rPr>
              <w:t>Escala de acidez ou basicidade de uma solução aquosa</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color w:val="FF0000"/>
                <w:lang w:val="en-US"/>
              </w:rPr>
            </w:pPr>
            <w:r>
              <w:rPr>
                <w:rFonts w:ascii="Times New Roman" w:hAnsi="Times New Roman"/>
                <w:b/>
                <w:i/>
                <w:sz w:val="24"/>
                <w:szCs w:val="24"/>
              </w:rPr>
              <w:t>λ</w:t>
            </w:r>
          </w:p>
        </w:tc>
        <w:tc>
          <w:tcPr>
            <w:tcW w:w="7700" w:type="dxa"/>
            <w:tcBorders/>
            <w:shd w:fill="auto" w:val="clear"/>
          </w:tcPr>
          <w:p>
            <w:pPr>
              <w:pStyle w:val="Contedodatabela"/>
              <w:spacing w:lineRule="auto" w:line="360" w:before="0" w:after="0"/>
              <w:rPr>
                <w:rFonts w:ascii="Times New Roman" w:hAnsi="Times New Roman" w:cs="Times New Roman"/>
                <w:color w:val="FF0000"/>
              </w:rPr>
            </w:pPr>
            <w:r>
              <w:rPr>
                <w:rFonts w:ascii="Times New Roman" w:hAnsi="Times New Roman"/>
                <w:sz w:val="24"/>
                <w:szCs w:val="24"/>
              </w:rPr>
              <w:t>Distância média do salto atômico da fase líquida para fase cristalina</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color w:val="FF0000"/>
                <w:lang w:val="en-US"/>
              </w:rPr>
            </w:pPr>
            <w:r>
              <w:rPr>
                <w:rFonts w:cs="Times New Roman" w:ascii="Times New Roman" w:hAnsi="Times New Roman"/>
                <w:b/>
                <w:i/>
                <w:sz w:val="24"/>
                <w:szCs w:val="24"/>
              </w:rPr>
              <w:t>γ</w:t>
            </w:r>
          </w:p>
        </w:tc>
        <w:tc>
          <w:tcPr>
            <w:tcW w:w="7700" w:type="dxa"/>
            <w:tcBorders/>
            <w:shd w:fill="auto" w:val="clear"/>
          </w:tcPr>
          <w:p>
            <w:pPr>
              <w:pStyle w:val="Contedodatabela"/>
              <w:spacing w:lineRule="auto" w:line="360" w:before="0" w:after="0"/>
              <w:rPr>
                <w:rFonts w:ascii="Times New Roman" w:hAnsi="Times New Roman" w:cs="Times New Roman"/>
                <w:color w:val="FF0000"/>
              </w:rPr>
            </w:pPr>
            <w:r>
              <w:rPr>
                <w:rFonts w:cs="Times New Roman" w:ascii="Times New Roman" w:hAnsi="Times New Roman"/>
                <w:sz w:val="24"/>
                <w:szCs w:val="24"/>
              </w:rPr>
              <w:t>Energia livre superficial esférica</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i/>
                <w:i/>
                <w:sz w:val="24"/>
                <w:szCs w:val="24"/>
              </w:rPr>
            </w:pPr>
            <w:r>
              <w:rPr>
                <w:rFonts w:cs="Symbol" w:ascii="Symbol" w:hAnsi="Symbol"/>
                <w:b/>
                <w:i/>
                <w:sz w:val="24"/>
                <w:szCs w:val="24"/>
              </w:rPr>
              <w:t></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bCs/>
                <w:sz w:val="24"/>
                <w:szCs w:val="24"/>
              </w:rPr>
              <w:t xml:space="preserve">Ângulo </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i/>
                <w:i/>
                <w:sz w:val="24"/>
                <w:szCs w:val="24"/>
              </w:rPr>
            </w:pPr>
            <w:r>
              <w:rPr>
                <w:rFonts w:cs="Times New Roman" w:ascii="Times New Roman" w:hAnsi="Times New Roman"/>
                <w:b/>
                <w:i/>
                <w:sz w:val="24"/>
                <w:szCs w:val="24"/>
              </w:rPr>
              <w:t>α</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sz w:val="24"/>
                <w:szCs w:val="24"/>
              </w:rPr>
              <w:t>Grau de cristalinidade</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i/>
                <w:i/>
                <w:sz w:val="24"/>
                <w:szCs w:val="24"/>
              </w:rPr>
            </w:pPr>
            <w:r>
              <w:rPr>
                <w:rFonts w:cs="Times New Roman" w:ascii="Times New Roman" w:hAnsi="Times New Roman"/>
                <w:b/>
                <w:i/>
                <w:sz w:val="24"/>
                <w:szCs w:val="23"/>
              </w:rPr>
              <w:t>β</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sz w:val="24"/>
                <w:szCs w:val="23"/>
              </w:rPr>
              <w:t>Taxa de aquecimento</w:t>
            </w:r>
            <w:r>
              <w:rPr>
                <w:rFonts w:cs="Times New Roman" w:ascii="Times New Roman" w:hAnsi="Times New Roman"/>
                <w:b/>
                <w:i/>
                <w:sz w:val="24"/>
                <w:szCs w:val="24"/>
              </w:rPr>
              <w:t xml:space="preserve"> </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sz w:val="24"/>
                <w:szCs w:val="24"/>
              </w:rPr>
            </w:pPr>
            <w:r>
              <w:rPr>
                <w:rFonts w:cs="Times New Roman" w:ascii="Times New Roman" w:hAnsi="Times New Roman"/>
                <w:sz w:val="24"/>
                <w:szCs w:val="24"/>
              </w:rPr>
              <w:t>ΔG</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sz w:val="24"/>
                <w:szCs w:val="24"/>
              </w:rPr>
              <w:t>Energia livre por mol na cristalização</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sz w:val="24"/>
                <w:szCs w:val="24"/>
              </w:rPr>
            </w:pPr>
            <w:r>
              <w:rPr>
                <w:rFonts w:cs="Times New Roman" w:ascii="Times New Roman" w:hAnsi="Times New Roman"/>
                <w:sz w:val="24"/>
                <w:szCs w:val="24"/>
              </w:rPr>
              <w:t>Δ</w:t>
            </w:r>
            <w:r>
              <w:rPr>
                <w:rFonts w:cs="Times New Roman" w:ascii="Times New Roman" w:hAnsi="Times New Roman"/>
                <w:i/>
                <w:sz w:val="24"/>
                <w:szCs w:val="24"/>
              </w:rPr>
              <w:t>G*</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sz w:val="24"/>
                <w:szCs w:val="24"/>
              </w:rPr>
              <w:t>Energia de livre necessária para a formação de um núcleo estável</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sz w:val="24"/>
                <w:szCs w:val="24"/>
              </w:rPr>
            </w:pPr>
            <w:r>
              <w:rPr>
                <w:rFonts w:cs="Times New Roman" w:ascii="Times New Roman" w:hAnsi="Times New Roman"/>
                <w:i/>
                <w:sz w:val="24"/>
                <w:szCs w:val="24"/>
              </w:rPr>
              <w:t>ΔG*</w:t>
            </w:r>
            <w:r>
              <w:rPr>
                <w:rFonts w:cs="Times New Roman" w:ascii="Times New Roman" w:hAnsi="Times New Roman"/>
                <w:i/>
                <w:sz w:val="24"/>
                <w:szCs w:val="24"/>
                <w:vertAlign w:val="subscript"/>
              </w:rPr>
              <w:t>het</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sz w:val="24"/>
                <w:szCs w:val="24"/>
              </w:rPr>
              <w:t>Energia livre para a nucleação heterogênea</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sz w:val="24"/>
                <w:szCs w:val="24"/>
              </w:rPr>
            </w:pPr>
            <w:r>
              <w:rPr>
                <w:rFonts w:cs="Times New Roman" w:ascii="Times New Roman" w:hAnsi="Times New Roman"/>
                <w:i/>
                <w:sz w:val="24"/>
                <w:szCs w:val="24"/>
              </w:rPr>
              <w:t>ΔG*</w:t>
            </w:r>
            <w:r>
              <w:rPr>
                <w:rFonts w:cs="Times New Roman" w:ascii="Times New Roman" w:hAnsi="Times New Roman"/>
                <w:i/>
                <w:sz w:val="24"/>
                <w:szCs w:val="24"/>
                <w:vertAlign w:val="subscript"/>
              </w:rPr>
              <w:t>hom</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Energia livre para a nucleação homogênea </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sz w:val="24"/>
                <w:szCs w:val="24"/>
              </w:rPr>
            </w:pPr>
            <w:r>
              <w:rPr>
                <w:rFonts w:cs="Times New Roman" w:ascii="Times New Roman" w:hAnsi="Times New Roman"/>
                <w:i/>
                <w:sz w:val="24"/>
                <w:szCs w:val="24"/>
              </w:rPr>
              <w:t>ΔG</w:t>
            </w:r>
            <w:r>
              <w:rPr>
                <w:rFonts w:cs="Times New Roman" w:ascii="Times New Roman" w:hAnsi="Times New Roman"/>
                <w:i/>
                <w:sz w:val="24"/>
                <w:szCs w:val="24"/>
                <w:vertAlign w:val="subscript"/>
              </w:rPr>
              <w:t>v</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sz w:val="24"/>
                <w:szCs w:val="24"/>
              </w:rPr>
              <w:t>Energia livre volumétrica esférica</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sz w:val="24"/>
                <w:szCs w:val="24"/>
              </w:rPr>
            </w:pPr>
            <w:r>
              <w:rPr>
                <w:rFonts w:cs="Times New Roman" w:ascii="Times New Roman" w:hAnsi="Times New Roman"/>
                <w:i/>
                <w:sz w:val="24"/>
                <w:szCs w:val="24"/>
              </w:rPr>
              <w:t>ΔH</w:t>
            </w:r>
            <w:r>
              <w:rPr>
                <w:rFonts w:cs="Times New Roman" w:ascii="Times New Roman" w:hAnsi="Times New Roman"/>
                <w:i/>
                <w:sz w:val="24"/>
                <w:szCs w:val="24"/>
                <w:vertAlign w:val="subscript"/>
              </w:rPr>
              <w:t>f</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sz w:val="24"/>
                <w:szCs w:val="24"/>
              </w:rPr>
              <w:t>Entalpia de fusão</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sz w:val="24"/>
                <w:szCs w:val="24"/>
              </w:rPr>
            </w:pPr>
            <w:r>
              <w:rPr>
                <w:rFonts w:cs="Symbol" w:ascii="Symbol" w:hAnsi="Symbol"/>
                <w:sz w:val="24"/>
                <w:szCs w:val="24"/>
              </w:rPr>
              <w:t></w:t>
            </w:r>
            <w:r>
              <w:rPr>
                <w:rFonts w:cs="Times New Roman" w:ascii="Times New Roman" w:hAnsi="Times New Roman"/>
                <w:bCs/>
                <w:sz w:val="24"/>
                <w:szCs w:val="24"/>
              </w:rPr>
              <w:t>IL</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bCs/>
                <w:sz w:val="24"/>
                <w:szCs w:val="24"/>
              </w:rPr>
              <w:t>Energia interfacial interface-líquido</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sz w:val="24"/>
                <w:szCs w:val="24"/>
              </w:rPr>
            </w:pPr>
            <w:r>
              <w:rPr>
                <w:rFonts w:cs="Symbol" w:ascii="Symbol" w:hAnsi="Symbol"/>
                <w:sz w:val="24"/>
                <w:szCs w:val="24"/>
              </w:rPr>
              <w:t></w:t>
            </w:r>
            <w:r>
              <w:rPr>
                <w:rFonts w:cs="Times New Roman" w:ascii="Times New Roman" w:hAnsi="Times New Roman"/>
                <w:bCs/>
                <w:sz w:val="24"/>
                <w:szCs w:val="24"/>
              </w:rPr>
              <w:t>SI</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bCs/>
                <w:sz w:val="24"/>
                <w:szCs w:val="24"/>
              </w:rPr>
              <w:t>Energia interfacial sólido-interface</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sz w:val="24"/>
                <w:szCs w:val="24"/>
              </w:rPr>
            </w:pPr>
            <w:r>
              <w:rPr>
                <w:rFonts w:cs="Symbol" w:ascii="Symbol" w:hAnsi="Symbol"/>
                <w:sz w:val="24"/>
                <w:szCs w:val="24"/>
              </w:rPr>
              <w:t></w:t>
            </w:r>
            <w:r>
              <w:rPr>
                <w:rFonts w:cs="Times New Roman" w:ascii="Times New Roman" w:hAnsi="Times New Roman"/>
                <w:bCs/>
                <w:sz w:val="24"/>
                <w:szCs w:val="24"/>
              </w:rPr>
              <w:t>SL</w:t>
            </w:r>
          </w:p>
        </w:tc>
        <w:tc>
          <w:tcPr>
            <w:tcW w:w="7700" w:type="dxa"/>
            <w:tcBorders/>
            <w:shd w:fill="auto" w:val="clear"/>
          </w:tcPr>
          <w:p>
            <w:pPr>
              <w:pStyle w:val="Contedodatabela"/>
              <w:spacing w:lineRule="auto" w:line="360" w:before="0" w:after="0"/>
              <w:rPr>
                <w:rFonts w:ascii="Times New Roman" w:hAnsi="Times New Roman" w:cs="Times New Roman"/>
                <w:sz w:val="24"/>
                <w:szCs w:val="24"/>
              </w:rPr>
            </w:pPr>
            <w:r>
              <w:rPr>
                <w:rFonts w:cs="Times New Roman" w:ascii="Times New Roman" w:hAnsi="Times New Roman"/>
                <w:bCs/>
                <w:sz w:val="24"/>
                <w:szCs w:val="24"/>
              </w:rPr>
              <w:t>Energia interfacial sólido-líquido</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i/>
                <w:i/>
                <w:sz w:val="24"/>
                <w:szCs w:val="23"/>
              </w:rPr>
            </w:pPr>
            <w:r>
              <w:rPr>
                <w:rFonts w:cs="Times New Roman" w:ascii="Times New Roman" w:hAnsi="Times New Roman"/>
                <w:i/>
                <w:sz w:val="24"/>
                <w:szCs w:val="24"/>
              </w:rPr>
              <w:t>A</w:t>
            </w:r>
          </w:p>
        </w:tc>
        <w:tc>
          <w:tcPr>
            <w:tcW w:w="7700" w:type="dxa"/>
            <w:tcBorders/>
            <w:shd w:fill="auto" w:val="clear"/>
          </w:tcPr>
          <w:p>
            <w:pPr>
              <w:pStyle w:val="Contedodatabela"/>
              <w:spacing w:lineRule="auto" w:line="360" w:before="0" w:after="0"/>
              <w:rPr>
                <w:rFonts w:ascii="Times New Roman" w:hAnsi="Times New Roman" w:cs="Times New Roman"/>
                <w:sz w:val="24"/>
                <w:szCs w:val="23"/>
              </w:rPr>
            </w:pPr>
            <w:r>
              <w:rPr>
                <w:rFonts w:cs="Times New Roman" w:ascii="Times New Roman" w:hAnsi="Times New Roman"/>
                <w:sz w:val="24"/>
                <w:szCs w:val="24"/>
              </w:rPr>
              <w:t>Frequência de colisões, bem-sucedidas, das moléculas</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i/>
                <w:i/>
                <w:sz w:val="24"/>
                <w:szCs w:val="23"/>
              </w:rPr>
            </w:pPr>
            <w:r>
              <w:rPr>
                <w:rFonts w:cs="Times New Roman" w:ascii="Times New Roman" w:hAnsi="Times New Roman"/>
                <w:i/>
                <w:iCs/>
                <w:sz w:val="24"/>
                <w:szCs w:val="24"/>
              </w:rPr>
              <w:t>A</w:t>
            </w:r>
            <w:r>
              <w:rPr>
                <w:rFonts w:cs="Times New Roman" w:ascii="Times New Roman" w:hAnsi="Times New Roman"/>
                <w:i/>
                <w:iCs/>
                <w:sz w:val="24"/>
                <w:szCs w:val="24"/>
                <w:vertAlign w:val="subscript"/>
              </w:rPr>
              <w:t>0</w:t>
            </w:r>
          </w:p>
        </w:tc>
        <w:tc>
          <w:tcPr>
            <w:tcW w:w="7700" w:type="dxa"/>
            <w:tcBorders/>
            <w:shd w:fill="auto" w:val="clear"/>
          </w:tcPr>
          <w:p>
            <w:pPr>
              <w:pStyle w:val="Contedodatabela"/>
              <w:spacing w:lineRule="auto" w:line="360" w:before="0" w:after="0"/>
              <w:rPr>
                <w:rFonts w:ascii="Times New Roman" w:hAnsi="Times New Roman" w:cs="Times New Roman"/>
                <w:sz w:val="24"/>
                <w:szCs w:val="23"/>
              </w:rPr>
            </w:pPr>
            <w:r>
              <w:rPr>
                <w:rFonts w:cs="Times New Roman" w:ascii="Times New Roman" w:hAnsi="Times New Roman"/>
                <w:iCs/>
                <w:sz w:val="24"/>
                <w:szCs w:val="24"/>
              </w:rPr>
              <w:t>Área parcial</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b/>
                <w:b/>
                <w:i/>
                <w:i/>
                <w:sz w:val="24"/>
                <w:szCs w:val="23"/>
              </w:rPr>
            </w:pPr>
            <w:r>
              <w:rPr>
                <w:rFonts w:cs="Times New Roman" w:ascii="Times New Roman" w:hAnsi="Times New Roman"/>
                <w:i/>
                <w:iCs/>
                <w:sz w:val="24"/>
                <w:szCs w:val="24"/>
              </w:rPr>
              <w:t>A</w:t>
            </w:r>
            <w:r>
              <w:rPr>
                <w:rFonts w:cs="Times New Roman" w:ascii="Times New Roman" w:hAnsi="Times New Roman"/>
                <w:i/>
                <w:iCs/>
                <w:sz w:val="24"/>
                <w:szCs w:val="24"/>
                <w:vertAlign w:val="subscript"/>
              </w:rPr>
              <w:t>ꝏ</w:t>
            </w:r>
          </w:p>
        </w:tc>
        <w:tc>
          <w:tcPr>
            <w:tcW w:w="7700" w:type="dxa"/>
            <w:tcBorders/>
            <w:shd w:fill="auto" w:val="clear"/>
          </w:tcPr>
          <w:p>
            <w:pPr>
              <w:pStyle w:val="Contedodatabela"/>
              <w:spacing w:lineRule="auto" w:line="360" w:before="0" w:after="0"/>
              <w:rPr>
                <w:rFonts w:ascii="Times New Roman" w:hAnsi="Times New Roman" w:cs="Times New Roman"/>
                <w:sz w:val="24"/>
                <w:szCs w:val="23"/>
              </w:rPr>
            </w:pPr>
            <w:r>
              <w:rPr>
                <w:rFonts w:cs="Times New Roman" w:ascii="Times New Roman" w:hAnsi="Times New Roman"/>
                <w:iCs/>
                <w:sz w:val="24"/>
                <w:szCs w:val="24"/>
              </w:rPr>
              <w:t>Área total</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iCs/>
                <w:sz w:val="24"/>
                <w:szCs w:val="24"/>
              </w:rPr>
            </w:pPr>
            <w:r>
              <w:rPr>
                <w:rFonts w:cs="Times New Roman" w:ascii="Times New Roman" w:hAnsi="Times New Roman"/>
                <w:i/>
                <w:sz w:val="24"/>
                <w:szCs w:val="24"/>
              </w:rPr>
              <w:t>h</w:t>
            </w:r>
          </w:p>
        </w:tc>
        <w:tc>
          <w:tcPr>
            <w:tcW w:w="7700" w:type="dxa"/>
            <w:tcBorders/>
            <w:shd w:fill="auto" w:val="clear"/>
          </w:tcPr>
          <w:p>
            <w:pPr>
              <w:pStyle w:val="Contedodatabela"/>
              <w:spacing w:lineRule="auto" w:line="360" w:before="0" w:after="0"/>
              <w:rPr>
                <w:rFonts w:ascii="Times New Roman" w:hAnsi="Times New Roman" w:cs="Times New Roman"/>
                <w:iCs/>
                <w:sz w:val="24"/>
                <w:szCs w:val="24"/>
              </w:rPr>
            </w:pPr>
            <w:r>
              <w:rPr>
                <w:rFonts w:cs="Times New Roman" w:ascii="Times New Roman" w:hAnsi="Times New Roman"/>
                <w:sz w:val="24"/>
                <w:szCs w:val="24"/>
              </w:rPr>
              <w:t>Constante de Planck</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iCs/>
                <w:sz w:val="24"/>
                <w:szCs w:val="24"/>
              </w:rPr>
            </w:pPr>
            <w:r>
              <w:rPr>
                <w:rFonts w:cs="Times New Roman" w:ascii="Times New Roman" w:hAnsi="Times New Roman"/>
                <w:i/>
                <w:sz w:val="24"/>
                <w:szCs w:val="24"/>
              </w:rPr>
              <w:t>N</w:t>
            </w:r>
          </w:p>
        </w:tc>
        <w:tc>
          <w:tcPr>
            <w:tcW w:w="7700" w:type="dxa"/>
            <w:tcBorders/>
            <w:shd w:fill="auto" w:val="clear"/>
          </w:tcPr>
          <w:p>
            <w:pPr>
              <w:pStyle w:val="Contedodatabela"/>
              <w:spacing w:lineRule="auto" w:line="360" w:before="0" w:after="0"/>
              <w:rPr>
                <w:rFonts w:ascii="Times New Roman" w:hAnsi="Times New Roman" w:cs="Times New Roman"/>
                <w:iCs/>
                <w:sz w:val="24"/>
                <w:szCs w:val="24"/>
              </w:rPr>
            </w:pPr>
            <w:r>
              <w:rPr>
                <w:rFonts w:cs="Times New Roman" w:ascii="Times New Roman" w:hAnsi="Times New Roman"/>
                <w:sz w:val="24"/>
                <w:szCs w:val="24"/>
              </w:rPr>
              <w:t>Taxa de nucleação</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iCs/>
                <w:sz w:val="24"/>
                <w:szCs w:val="24"/>
              </w:rPr>
            </w:pPr>
            <w:r>
              <w:rPr>
                <w:rFonts w:cs="Times New Roman" w:ascii="Times New Roman" w:hAnsi="Times New Roman"/>
                <w:i/>
                <w:sz w:val="24"/>
                <w:szCs w:val="24"/>
              </w:rPr>
              <w:t>n</w:t>
            </w:r>
          </w:p>
        </w:tc>
        <w:tc>
          <w:tcPr>
            <w:tcW w:w="7700" w:type="dxa"/>
            <w:tcBorders/>
            <w:shd w:fill="auto" w:val="clear"/>
          </w:tcPr>
          <w:p>
            <w:pPr>
              <w:pStyle w:val="Contedodatabela"/>
              <w:spacing w:lineRule="auto" w:line="360" w:before="0" w:after="0"/>
              <w:rPr>
                <w:rFonts w:ascii="Times New Roman" w:hAnsi="Times New Roman" w:cs="Times New Roman"/>
                <w:iCs/>
                <w:sz w:val="24"/>
                <w:szCs w:val="24"/>
              </w:rPr>
            </w:pPr>
            <w:r>
              <w:rPr>
                <w:rFonts w:cs="Times New Roman" w:ascii="Times New Roman" w:hAnsi="Times New Roman"/>
                <w:sz w:val="24"/>
                <w:szCs w:val="24"/>
              </w:rPr>
              <w:t>Parâmetro de Avrami</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iCs/>
                <w:sz w:val="24"/>
                <w:szCs w:val="24"/>
              </w:rPr>
            </w:pPr>
            <w:r>
              <w:rPr>
                <w:rFonts w:cs="Times New Roman" w:ascii="Times New Roman" w:hAnsi="Times New Roman"/>
                <w:i/>
                <w:sz w:val="24"/>
                <w:szCs w:val="24"/>
              </w:rPr>
              <w:t>N</w:t>
            </w:r>
            <w:r>
              <w:rPr>
                <w:rFonts w:cs="Times New Roman" w:ascii="Times New Roman" w:hAnsi="Times New Roman"/>
                <w:i/>
                <w:sz w:val="24"/>
                <w:szCs w:val="24"/>
                <w:vertAlign w:val="subscript"/>
              </w:rPr>
              <w:t>het</w:t>
            </w:r>
          </w:p>
        </w:tc>
        <w:tc>
          <w:tcPr>
            <w:tcW w:w="7700" w:type="dxa"/>
            <w:tcBorders/>
            <w:shd w:fill="auto" w:val="clear"/>
          </w:tcPr>
          <w:p>
            <w:pPr>
              <w:pStyle w:val="Contedodatabela"/>
              <w:spacing w:lineRule="auto" w:line="360" w:before="0" w:after="0"/>
              <w:rPr>
                <w:rFonts w:ascii="Times New Roman" w:hAnsi="Times New Roman" w:cs="Times New Roman"/>
                <w:iCs/>
                <w:sz w:val="24"/>
                <w:szCs w:val="24"/>
              </w:rPr>
            </w:pPr>
            <w:r>
              <w:rPr>
                <w:rFonts w:cs="Times New Roman" w:ascii="Times New Roman" w:hAnsi="Times New Roman"/>
                <w:sz w:val="24"/>
                <w:szCs w:val="24"/>
              </w:rPr>
              <w:t>Taxa de nucleação heterogênea</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iCs/>
                <w:sz w:val="24"/>
                <w:szCs w:val="24"/>
              </w:rPr>
            </w:pPr>
            <w:r>
              <w:rPr>
                <w:rFonts w:cs="Times New Roman" w:ascii="Times New Roman" w:hAnsi="Times New Roman"/>
                <w:i/>
                <w:sz w:val="24"/>
                <w:szCs w:val="24"/>
              </w:rPr>
              <w:t>R</w:t>
            </w:r>
          </w:p>
        </w:tc>
        <w:tc>
          <w:tcPr>
            <w:tcW w:w="7700" w:type="dxa"/>
            <w:tcBorders/>
            <w:shd w:fill="auto" w:val="clear"/>
          </w:tcPr>
          <w:p>
            <w:pPr>
              <w:pStyle w:val="Contedodatabela"/>
              <w:spacing w:lineRule="auto" w:line="360" w:before="0" w:after="0"/>
              <w:rPr>
                <w:rFonts w:ascii="Times New Roman" w:hAnsi="Times New Roman" w:cs="Times New Roman"/>
                <w:iCs/>
                <w:sz w:val="24"/>
                <w:szCs w:val="24"/>
              </w:rPr>
            </w:pPr>
            <w:r>
              <w:rPr>
                <w:rFonts w:cs="Times New Roman" w:ascii="Times New Roman" w:hAnsi="Times New Roman"/>
                <w:sz w:val="24"/>
                <w:szCs w:val="24"/>
              </w:rPr>
              <w:t>Constante dos gases (8,314 J/K.mol)</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iCs/>
                <w:sz w:val="24"/>
                <w:szCs w:val="24"/>
              </w:rPr>
            </w:pPr>
            <w:r>
              <w:rPr>
                <w:rFonts w:cs="Times New Roman" w:ascii="Times New Roman" w:hAnsi="Times New Roman"/>
                <w:i/>
                <w:sz w:val="24"/>
                <w:szCs w:val="24"/>
              </w:rPr>
              <w:t>W</w:t>
            </w:r>
          </w:p>
        </w:tc>
        <w:tc>
          <w:tcPr>
            <w:tcW w:w="7700" w:type="dxa"/>
            <w:tcBorders/>
            <w:shd w:fill="auto" w:val="clear"/>
          </w:tcPr>
          <w:p>
            <w:pPr>
              <w:pStyle w:val="Contedodatabela"/>
              <w:spacing w:lineRule="auto" w:line="360" w:before="0" w:after="0"/>
              <w:rPr>
                <w:rFonts w:ascii="Times New Roman" w:hAnsi="Times New Roman" w:cs="Times New Roman"/>
                <w:iCs/>
                <w:sz w:val="24"/>
                <w:szCs w:val="24"/>
              </w:rPr>
            </w:pPr>
            <w:r>
              <w:rPr>
                <w:rFonts w:cs="Times New Roman" w:ascii="Times New Roman" w:hAnsi="Times New Roman"/>
                <w:sz w:val="24"/>
                <w:szCs w:val="24"/>
              </w:rPr>
              <w:t>Trabalho termodinâmico</w:t>
            </w:r>
          </w:p>
        </w:tc>
      </w:tr>
      <w:tr>
        <w:trPr>
          <w:trHeight w:val="284" w:hRule="atLeast"/>
        </w:trPr>
        <w:tc>
          <w:tcPr>
            <w:tcW w:w="942" w:type="dxa"/>
            <w:tcBorders/>
            <w:shd w:fill="auto" w:val="clear"/>
          </w:tcPr>
          <w:p>
            <w:pPr>
              <w:pStyle w:val="Contedodatabela"/>
              <w:spacing w:lineRule="auto" w:line="360" w:before="0" w:after="0"/>
              <w:rPr>
                <w:rFonts w:ascii="Times New Roman" w:hAnsi="Times New Roman" w:cs="Times New Roman"/>
                <w:i/>
                <w:i/>
                <w:iCs/>
                <w:sz w:val="24"/>
                <w:szCs w:val="24"/>
              </w:rPr>
            </w:pPr>
            <w:r>
              <w:rPr>
                <w:rFonts w:cs="Times New Roman" w:ascii="Times New Roman" w:hAnsi="Times New Roman"/>
                <w:i/>
                <w:sz w:val="24"/>
                <w:szCs w:val="24"/>
              </w:rPr>
              <w:t>X(t)</w:t>
            </w:r>
          </w:p>
        </w:tc>
        <w:tc>
          <w:tcPr>
            <w:tcW w:w="7700" w:type="dxa"/>
            <w:tcBorders/>
            <w:shd w:fill="auto" w:val="clear"/>
          </w:tcPr>
          <w:p>
            <w:pPr>
              <w:pStyle w:val="Contedodatabela"/>
              <w:spacing w:lineRule="auto" w:line="360" w:before="0" w:after="0"/>
              <w:rPr>
                <w:rFonts w:ascii="Times New Roman" w:hAnsi="Times New Roman" w:cs="Times New Roman"/>
                <w:iCs/>
                <w:sz w:val="24"/>
                <w:szCs w:val="24"/>
              </w:rPr>
            </w:pPr>
            <w:r>
              <w:rPr>
                <w:rFonts w:cs="Times New Roman" w:ascii="Times New Roman" w:hAnsi="Times New Roman"/>
                <w:sz w:val="24"/>
                <w:szCs w:val="24"/>
              </w:rPr>
              <w:t>Fração de massa cristalizada</w:t>
            </w:r>
            <w:bookmarkStart w:id="23" w:name="_Hlk154502714"/>
            <w:bookmarkEnd w:id="23"/>
          </w:p>
        </w:tc>
      </w:tr>
    </w:tbl>
    <w:p>
      <w:pPr>
        <w:pStyle w:val="Corpodetexto"/>
        <w:spacing w:lineRule="auto" w:line="360" w:before="0" w:after="0"/>
        <w:jc w:val="center"/>
        <w:rPr>
          <w:rFonts w:ascii="Times New Roman" w:hAnsi="Times New Roman" w:cs="Times New Roman"/>
          <w:b/>
          <w:b/>
          <w:sz w:val="24"/>
          <w:szCs w:val="24"/>
        </w:rPr>
      </w:pPr>
      <w:r>
        <w:br w:type="page"/>
      </w:r>
      <w:r>
        <mc:AlternateContent>
          <mc:Choice Requires="wps">
            <w:drawing>
              <wp:anchor behindDoc="0" distT="0" distB="0" distL="114300" distR="114300" simplePos="0" locked="0" layoutInCell="1" allowOverlap="1" relativeHeight="121" wp14:anchorId="5C762C4F">
                <wp:simplePos x="0" y="0"/>
                <wp:positionH relativeFrom="margin">
                  <wp:posOffset>5513705</wp:posOffset>
                </wp:positionH>
                <wp:positionV relativeFrom="paragraph">
                  <wp:posOffset>-771525</wp:posOffset>
                </wp:positionV>
                <wp:extent cx="489585" cy="426085"/>
                <wp:effectExtent l="0" t="0" r="26035" b="12700"/>
                <wp:wrapNone/>
                <wp:docPr id="6" name="Elipse 38"/>
                <a:graphic xmlns:a="http://schemas.openxmlformats.org/drawingml/2006/main">
                  <a:graphicData uri="http://schemas.microsoft.com/office/word/2010/wordprocessingShape">
                    <wps:wsp>
                      <wps:cNvSpPr/>
                      <wps:spPr>
                        <a:xfrm>
                          <a:off x="0" y="0"/>
                          <a:ext cx="488880" cy="4255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ipse 38" fillcolor="white" stroked="t" style="position:absolute;margin-left:434.15pt;margin-top:-60.75pt;width:38.45pt;height:33.45pt;mso-position-horizontal-relative:margin" wp14:anchorId="5C762C4F">
                <w10:wrap type="none"/>
                <v:fill o:detectmouseclick="t" type="solid" color2="black"/>
                <v:stroke color="white" weight="12600" joinstyle="miter" endcap="flat"/>
              </v:oval>
            </w:pict>
          </mc:Fallback>
        </mc:AlternateContent>
        <mc:AlternateContent>
          <mc:Choice Requires="wps">
            <w:drawing>
              <wp:anchor behindDoc="0" distT="0" distB="0" distL="114300" distR="114300" simplePos="0" locked="0" layoutInCell="1" allowOverlap="1" relativeHeight="122" wp14:anchorId="4AA3031A">
                <wp:simplePos x="0" y="0"/>
                <wp:positionH relativeFrom="margin">
                  <wp:posOffset>5486400</wp:posOffset>
                </wp:positionH>
                <wp:positionV relativeFrom="paragraph">
                  <wp:posOffset>-693420</wp:posOffset>
                </wp:positionV>
                <wp:extent cx="489585" cy="426085"/>
                <wp:effectExtent l="0" t="0" r="26035" b="12700"/>
                <wp:wrapNone/>
                <wp:docPr id="7" name="Elipse 39"/>
                <a:graphic xmlns:a="http://schemas.openxmlformats.org/drawingml/2006/main">
                  <a:graphicData uri="http://schemas.microsoft.com/office/word/2010/wordprocessingShape">
                    <wps:wsp>
                      <wps:cNvSpPr/>
                      <wps:spPr>
                        <a:xfrm>
                          <a:off x="0" y="0"/>
                          <a:ext cx="488880" cy="4255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ipse 39" fillcolor="white" stroked="t" style="position:absolute;margin-left:432pt;margin-top:-54.6pt;width:38.45pt;height:33.45pt;mso-position-horizontal-relative:margin" wp14:anchorId="4AA3031A">
                <w10:wrap type="none"/>
                <v:fill o:detectmouseclick="t" type="solid" color2="black"/>
                <v:stroke color="white" weight="12600" joinstyle="miter" endcap="flat"/>
              </v:oval>
            </w:pict>
          </mc:Fallback>
        </mc:AlternateContent>
        <mc:AlternateContent>
          <mc:Choice Requires="wps">
            <w:drawing>
              <wp:anchor behindDoc="0" distT="0" distB="0" distL="114300" distR="114300" simplePos="0" locked="0" layoutInCell="1" allowOverlap="1" relativeHeight="123" wp14:anchorId="333FA810">
                <wp:simplePos x="0" y="0"/>
                <wp:positionH relativeFrom="column">
                  <wp:posOffset>5562600</wp:posOffset>
                </wp:positionH>
                <wp:positionV relativeFrom="paragraph">
                  <wp:posOffset>-657225</wp:posOffset>
                </wp:positionV>
                <wp:extent cx="267970" cy="224790"/>
                <wp:effectExtent l="0" t="0" r="0" b="4445"/>
                <wp:wrapNone/>
                <wp:docPr id="8" name="Retângulo 1"/>
                <a:graphic xmlns:a="http://schemas.openxmlformats.org/drawingml/2006/main">
                  <a:graphicData uri="http://schemas.microsoft.com/office/word/2010/wordprocessingShape">
                    <wps:wsp>
                      <wps:cNvSpPr/>
                      <wps:spPr>
                        <a:xfrm>
                          <a:off x="0" y="0"/>
                          <a:ext cx="267480" cy="224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1" fillcolor="white" stroked="f" style="position:absolute;margin-left:438pt;margin-top:-51.75pt;width:21pt;height:17.6pt" wp14:anchorId="333FA810">
                <w10:wrap type="none"/>
                <v:fill o:detectmouseclick="t" type="solid" color2="black"/>
                <v:stroke color="#3465a4" weight="12600" joinstyle="miter" endcap="flat"/>
              </v:rect>
            </w:pict>
          </mc:Fallback>
        </mc:AlternateContent>
      </w:r>
      <w:r>
        <w:rPr>
          <w:rFonts w:cs="Times New Roman" w:ascii="Times New Roman" w:hAnsi="Times New Roman"/>
          <w:b/>
          <w:sz w:val="24"/>
          <w:szCs w:val="24"/>
        </w:rPr>
        <w:t>SUMÁRIO</w:t>
      </w:r>
    </w:p>
    <w:tbl>
      <w:tblPr>
        <w:tblW w:w="9071" w:type="dxa"/>
        <w:jc w:val="left"/>
        <w:tblInd w:w="-20" w:type="dxa"/>
        <w:tblBorders/>
        <w:tblCellMar>
          <w:top w:w="0" w:type="dxa"/>
          <w:left w:w="0" w:type="dxa"/>
          <w:bottom w:w="0" w:type="dxa"/>
          <w:right w:w="0" w:type="dxa"/>
        </w:tblCellMar>
        <w:tblLook w:noVBand="0" w:val="0000" w:noHBand="0" w:lastColumn="0" w:firstColumn="0" w:lastRow="0" w:firstRow="0"/>
      </w:tblPr>
      <w:tblGrid>
        <w:gridCol w:w="1025"/>
        <w:gridCol w:w="7499"/>
        <w:gridCol w:w="547"/>
      </w:tblGrid>
      <w:tr>
        <w:trPr>
          <w:trHeight w:val="62" w:hRule="atLeast"/>
        </w:trPr>
        <w:tc>
          <w:tcPr>
            <w:tcW w:w="1025" w:type="dxa"/>
            <w:tcBorders/>
            <w:shd w:color="auto" w:fill="FFFFFF" w:val="clear"/>
          </w:tcPr>
          <w:p>
            <w:pPr>
              <w:pStyle w:val="Contedodatabela"/>
              <w:spacing w:lineRule="auto" w:line="360" w:before="0" w:after="0"/>
              <w:rPr>
                <w:rFonts w:ascii="Times New Roman" w:hAnsi="Times New Roman" w:cs="Times New Roman"/>
                <w:b/>
                <w:b/>
                <w:sz w:val="24"/>
                <w:szCs w:val="24"/>
              </w:rPr>
            </w:pPr>
            <w:r>
              <w:rPr>
                <w:rFonts w:cs="Times New Roman" w:ascii="Times New Roman" w:hAnsi="Times New Roman"/>
                <w:b/>
                <w:sz w:val="24"/>
                <w:szCs w:val="24"/>
              </w:rPr>
              <w:t>1</w:t>
            </w:r>
          </w:p>
        </w:tc>
        <w:tc>
          <w:tcPr>
            <w:tcW w:w="7499" w:type="dxa"/>
            <w:tcBorders/>
            <w:shd w:color="auto" w:fill="FFFFFF" w:val="clear"/>
          </w:tcPr>
          <w:p>
            <w:pPr>
              <w:pStyle w:val="Contedodatabela"/>
              <w:spacing w:lineRule="auto" w:line="360" w:before="0" w:after="0"/>
              <w:rPr>
                <w:rFonts w:ascii="Times New Roman" w:hAnsi="Times New Roman" w:cs="Times New Roman"/>
                <w:b/>
                <w:b/>
                <w:sz w:val="24"/>
                <w:szCs w:val="24"/>
              </w:rPr>
            </w:pPr>
            <w:r>
              <w:rPr>
                <w:rFonts w:cs="Times New Roman" w:ascii="Times New Roman" w:hAnsi="Times New Roman"/>
                <w:b/>
                <w:sz w:val="24"/>
                <w:szCs w:val="24"/>
              </w:rPr>
              <w:t xml:space="preserve">INTRODUÇÃO </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w:t>
            </w:r>
          </w:p>
        </w:tc>
      </w:tr>
      <w:tr>
        <w:trPr>
          <w:trHeight w:val="62" w:hRule="atLeast"/>
        </w:trPr>
        <w:tc>
          <w:tcPr>
            <w:tcW w:w="1025" w:type="dxa"/>
            <w:tcBorders/>
            <w:shd w:color="auto" w:fill="FFFFFF" w:val="clear"/>
          </w:tcPr>
          <w:p>
            <w:pPr>
              <w:pStyle w:val="Contedodatabela"/>
              <w:spacing w:lineRule="auto" w:line="360" w:beforeAutospacing="1" w:after="0"/>
              <w:rPr>
                <w:rFonts w:ascii="Times New Roman" w:hAnsi="Times New Roman" w:cs="Times New Roman"/>
                <w:b/>
                <w:b/>
                <w:sz w:val="24"/>
                <w:szCs w:val="24"/>
              </w:rPr>
            </w:pPr>
            <w:r>
              <w:rPr>
                <w:rStyle w:val="Strong"/>
                <w:rFonts w:cs="Times New Roman" w:ascii="Times New Roman" w:hAnsi="Times New Roman"/>
                <w:sz w:val="24"/>
                <w:szCs w:val="24"/>
              </w:rPr>
              <w:t>2</w:t>
            </w:r>
          </w:p>
        </w:tc>
        <w:tc>
          <w:tcPr>
            <w:tcW w:w="7499" w:type="dxa"/>
            <w:tcBorders/>
            <w:shd w:color="auto" w:fill="FFFFFF" w:val="clear"/>
          </w:tcPr>
          <w:p>
            <w:pPr>
              <w:pStyle w:val="Normal"/>
              <w:spacing w:lineRule="auto" w:line="360" w:beforeAutospacing="1" w:after="0"/>
              <w:rPr>
                <w:rFonts w:ascii="Times New Roman" w:hAnsi="Times New Roman" w:cs="Times New Roman"/>
                <w:b/>
                <w:b/>
                <w:sz w:val="24"/>
                <w:szCs w:val="24"/>
              </w:rPr>
            </w:pPr>
            <w:r>
              <w:rPr>
                <w:rFonts w:cs="Times New Roman" w:ascii="Times New Roman" w:hAnsi="Times New Roman"/>
                <w:b/>
                <w:sz w:val="24"/>
                <w:szCs w:val="24"/>
              </w:rPr>
              <w:t xml:space="preserve">OBJETIVO </w:t>
            </w:r>
            <w:r>
              <w:rPr>
                <w:rFonts w:cs="Times New Roman" w:ascii="Times New Roman" w:hAnsi="Times New Roman"/>
                <w:sz w:val="24"/>
                <w:szCs w:val="24"/>
              </w:rPr>
              <w:t>...</w:t>
            </w:r>
            <w:r>
              <w:rPr>
                <w:rStyle w:val="Strong"/>
                <w:rFonts w:cs="Times New Roman" w:ascii="Times New Roman" w:hAnsi="Times New Roman"/>
                <w:b w:val="false"/>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18</w:t>
            </w:r>
          </w:p>
        </w:tc>
      </w:tr>
      <w:tr>
        <w:trPr>
          <w:trHeight w:val="62" w:hRule="atLeast"/>
        </w:trPr>
        <w:tc>
          <w:tcPr>
            <w:tcW w:w="1025" w:type="dxa"/>
            <w:tcBorders/>
            <w:shd w:color="auto" w:fill="FFFFFF" w:val="clear"/>
          </w:tcPr>
          <w:p>
            <w:pPr>
              <w:pStyle w:val="Contedodatabela"/>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2.1</w:t>
            </w:r>
          </w:p>
        </w:tc>
        <w:tc>
          <w:tcPr>
            <w:tcW w:w="7499" w:type="dxa"/>
            <w:tcBorders/>
            <w:shd w:color="auto" w:fill="FFFFFF" w:val="clear"/>
          </w:tcPr>
          <w:p>
            <w:pPr>
              <w:pStyle w:val="Contedodatabela"/>
              <w:spacing w:lineRule="auto" w:line="360" w:before="0" w:after="0"/>
              <w:rPr>
                <w:rFonts w:ascii="Times New Roman" w:hAnsi="Times New Roman" w:cs="Times New Roman"/>
                <w:b/>
                <w:b/>
                <w:sz w:val="24"/>
                <w:szCs w:val="24"/>
              </w:rPr>
            </w:pPr>
            <w:r>
              <w:rPr>
                <w:rFonts w:cs="Times New Roman" w:ascii="Times New Roman" w:hAnsi="Times New Roman"/>
                <w:b/>
                <w:sz w:val="24"/>
                <w:szCs w:val="24"/>
              </w:rPr>
              <w:t>Objetivos específicos</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18</w:t>
            </w:r>
          </w:p>
        </w:tc>
      </w:tr>
      <w:tr>
        <w:trPr>
          <w:trHeight w:val="62" w:hRule="atLeast"/>
        </w:trPr>
        <w:tc>
          <w:tcPr>
            <w:tcW w:w="1025" w:type="dxa"/>
            <w:tcBorders/>
            <w:shd w:color="auto" w:fill="FFFFFF" w:val="clear"/>
          </w:tcPr>
          <w:p>
            <w:pPr>
              <w:pStyle w:val="Contedodatabela"/>
              <w:spacing w:lineRule="auto" w:line="360" w:before="0" w:after="0"/>
              <w:rPr>
                <w:rFonts w:ascii="Times New Roman" w:hAnsi="Times New Roman" w:cs="Times New Roman"/>
                <w:b/>
                <w:b/>
                <w:sz w:val="24"/>
                <w:szCs w:val="24"/>
              </w:rPr>
            </w:pPr>
            <w:r>
              <w:rPr>
                <w:rFonts w:cs="Times New Roman" w:ascii="Times New Roman" w:hAnsi="Times New Roman"/>
                <w:b/>
                <w:sz w:val="24"/>
                <w:szCs w:val="24"/>
              </w:rPr>
              <w:t>3</w:t>
            </w:r>
          </w:p>
        </w:tc>
        <w:tc>
          <w:tcPr>
            <w:tcW w:w="7499" w:type="dxa"/>
            <w:tcBorders/>
            <w:shd w:color="auto" w:fill="FFFFFF" w:val="clear"/>
          </w:tcPr>
          <w:p>
            <w:pPr>
              <w:pStyle w:val="Contedodatabela"/>
              <w:spacing w:lineRule="auto" w:line="360" w:before="0" w:after="0"/>
              <w:rPr>
                <w:rFonts w:ascii="Times New Roman" w:hAnsi="Times New Roman" w:cs="Times New Roman"/>
                <w:b/>
                <w:b/>
                <w:sz w:val="24"/>
                <w:szCs w:val="24"/>
              </w:rPr>
            </w:pPr>
            <w:r>
              <w:rPr>
                <w:rFonts w:cs="Times New Roman" w:ascii="Times New Roman" w:hAnsi="Times New Roman"/>
                <w:b/>
                <w:sz w:val="24"/>
                <w:szCs w:val="24"/>
              </w:rPr>
              <w:t>REVISÃO BIBLIOGRÁFICA</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19</w:t>
            </w:r>
          </w:p>
        </w:tc>
      </w:tr>
      <w:tr>
        <w:trPr>
          <w:trHeight w:val="62" w:hRule="atLeast"/>
        </w:trPr>
        <w:tc>
          <w:tcPr>
            <w:tcW w:w="1025" w:type="dxa"/>
            <w:tcBorders/>
            <w:shd w:color="auto" w:fill="FFFFFF" w:val="clear"/>
          </w:tcPr>
          <w:p>
            <w:pPr>
              <w:pStyle w:val="Contedodatabela"/>
              <w:spacing w:lineRule="auto" w:line="360" w:before="0" w:after="0"/>
              <w:rPr>
                <w:rFonts w:ascii="Times New Roman" w:hAnsi="Times New Roman" w:cs="Times New Roman"/>
                <w:b/>
                <w:b/>
                <w:sz w:val="24"/>
                <w:szCs w:val="24"/>
              </w:rPr>
            </w:pPr>
            <w:r>
              <w:rPr>
                <w:rStyle w:val="Strong"/>
                <w:rFonts w:cs="Times New Roman" w:ascii="Times New Roman" w:hAnsi="Times New Roman"/>
                <w:sz w:val="24"/>
                <w:szCs w:val="24"/>
              </w:rPr>
              <w:t>3.1</w:t>
            </w:r>
          </w:p>
        </w:tc>
        <w:tc>
          <w:tcPr>
            <w:tcW w:w="7499" w:type="dxa"/>
            <w:tcBorders/>
            <w:shd w:color="auto" w:fill="FFFFFF" w:val="clear"/>
          </w:tcPr>
          <w:p>
            <w:pPr>
              <w:pStyle w:val="Contedodatabela"/>
              <w:spacing w:lineRule="auto" w:line="360" w:before="0" w:after="0"/>
              <w:rPr>
                <w:rStyle w:val="Strong"/>
                <w:rFonts w:ascii="Times New Roman" w:hAnsi="Times New Roman" w:cs="Times New Roman"/>
                <w:sz w:val="24"/>
                <w:szCs w:val="24"/>
              </w:rPr>
            </w:pPr>
            <w:r>
              <w:rPr>
                <w:rFonts w:cs="Times New Roman" w:ascii="Times New Roman" w:hAnsi="Times New Roman"/>
                <w:b/>
                <w:sz w:val="24"/>
                <w:szCs w:val="24"/>
              </w:rPr>
              <w:t xml:space="preserve">Lingotamento contínuo </w:t>
            </w:r>
            <w:r>
              <w:rPr>
                <w:rFonts w:cs="Times New Roman" w:ascii="Times New Roman" w:hAnsi="Times New Roman"/>
                <w:sz w:val="24"/>
                <w:szCs w:val="24"/>
              </w:rPr>
              <w:t>..</w:t>
            </w:r>
            <w:r>
              <w:rPr>
                <w:rStyle w:val="Strong"/>
                <w:rFonts w:cs="Times New Roman" w:ascii="Times New Roman" w:hAnsi="Times New Roman"/>
                <w:b w:val="false"/>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19</w:t>
            </w:r>
          </w:p>
        </w:tc>
      </w:tr>
      <w:tr>
        <w:trPr>
          <w:trHeight w:val="62" w:hRule="atLeast"/>
        </w:trPr>
        <w:tc>
          <w:tcPr>
            <w:tcW w:w="1025" w:type="dxa"/>
            <w:tcBorders/>
            <w:shd w:color="auto" w:fill="FFFFFF" w:val="clear"/>
          </w:tcPr>
          <w:p>
            <w:pPr>
              <w:pStyle w:val="Contedodatabela"/>
              <w:spacing w:lineRule="auto" w:line="360" w:before="0" w:after="0"/>
              <w:jc w:val="both"/>
              <w:rPr>
                <w:rFonts w:ascii="Times New Roman" w:hAnsi="Times New Roman" w:cs="Times New Roman"/>
                <w:b/>
                <w:b/>
                <w:sz w:val="24"/>
                <w:szCs w:val="24"/>
                <w:lang w:val="en-US"/>
              </w:rPr>
            </w:pPr>
            <w:r>
              <w:rPr>
                <w:rFonts w:cs="Times New Roman" w:ascii="Times New Roman" w:hAnsi="Times New Roman"/>
                <w:b/>
                <w:sz w:val="24"/>
                <w:szCs w:val="24"/>
                <w:lang w:val="en-US"/>
              </w:rPr>
              <w:t>3.2</w:t>
            </w:r>
          </w:p>
        </w:tc>
        <w:tc>
          <w:tcPr>
            <w:tcW w:w="7499" w:type="dxa"/>
            <w:tcBorders/>
            <w:shd w:color="auto" w:fill="FFFFFF" w:val="clear"/>
          </w:tcPr>
          <w:p>
            <w:pPr>
              <w:pStyle w:val="Contedodatabela"/>
              <w:spacing w:lineRule="auto" w:line="360" w:before="0" w:after="0"/>
              <w:rPr>
                <w:rFonts w:ascii="Times New Roman" w:hAnsi="Times New Roman" w:cs="Times New Roman"/>
                <w:b/>
                <w:b/>
                <w:sz w:val="24"/>
                <w:szCs w:val="24"/>
              </w:rPr>
            </w:pPr>
            <w:r>
              <w:rPr>
                <w:rFonts w:cs="Times New Roman" w:ascii="Times New Roman" w:hAnsi="Times New Roman"/>
                <w:b/>
                <w:sz w:val="24"/>
                <w:szCs w:val="24"/>
              </w:rPr>
              <w:t>Aços peritéticos</w:t>
            </w:r>
            <w:r>
              <w:rPr>
                <w:rStyle w:val="Strong"/>
                <w:rFonts w:cs="Times New Roman" w:ascii="Times New Roman" w:hAnsi="Times New Roman"/>
                <w:b w:val="false"/>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21  </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szCs w:val="24"/>
              </w:rPr>
            </w:pPr>
            <w:r>
              <w:rPr>
                <w:rStyle w:val="Strong"/>
                <w:rFonts w:cs="Times New Roman" w:ascii="Times New Roman" w:hAnsi="Times New Roman"/>
                <w:sz w:val="24"/>
                <w:szCs w:val="24"/>
              </w:rPr>
              <w:t>3.3</w:t>
            </w:r>
          </w:p>
        </w:tc>
        <w:tc>
          <w:tcPr>
            <w:tcW w:w="7499" w:type="dxa"/>
            <w:tcBorders/>
            <w:shd w:color="auto" w:fill="FFFFFF" w:val="clear"/>
          </w:tcPr>
          <w:p>
            <w:pPr>
              <w:pStyle w:val="Contedodatabela"/>
              <w:spacing w:lineRule="auto" w:line="360" w:before="0" w:after="0"/>
              <w:rPr>
                <w:rStyle w:val="Strong"/>
                <w:rFonts w:ascii="Times New Roman" w:hAnsi="Times New Roman" w:cs="Times New Roman"/>
                <w:sz w:val="24"/>
                <w:szCs w:val="24"/>
              </w:rPr>
            </w:pPr>
            <w:r>
              <w:rPr>
                <w:rFonts w:cs="Times New Roman" w:ascii="Times New Roman" w:hAnsi="Times New Roman"/>
                <w:b/>
                <w:sz w:val="24"/>
                <w:szCs w:val="24"/>
              </w:rPr>
              <w:t>Trincas no lingotamento contínuo</w:t>
            </w:r>
            <w:r>
              <w:rPr>
                <w:rStyle w:val="Strong"/>
                <w:rFonts w:cs="Times New Roman" w:ascii="Times New Roman" w:hAnsi="Times New Roman"/>
                <w:b w:val="false"/>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23</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szCs w:val="24"/>
              </w:rPr>
            </w:pPr>
            <w:r>
              <w:rPr>
                <w:rStyle w:val="Strong"/>
                <w:rFonts w:cs="Times New Roman" w:ascii="Times New Roman" w:hAnsi="Times New Roman"/>
                <w:sz w:val="24"/>
                <w:szCs w:val="24"/>
              </w:rPr>
              <w:t>3.4</w:t>
            </w:r>
          </w:p>
        </w:tc>
        <w:tc>
          <w:tcPr>
            <w:tcW w:w="7499" w:type="dxa"/>
            <w:tcBorders/>
            <w:shd w:color="auto" w:fill="FFFFFF" w:val="clear"/>
          </w:tcPr>
          <w:p>
            <w:pPr>
              <w:pStyle w:val="Contedodatabela"/>
              <w:spacing w:lineRule="auto" w:line="360" w:before="0" w:after="0"/>
              <w:rPr>
                <w:rFonts w:ascii="Times New Roman" w:hAnsi="Times New Roman" w:cs="Times New Roman"/>
                <w:b/>
                <w:b/>
                <w:sz w:val="24"/>
                <w:szCs w:val="24"/>
              </w:rPr>
            </w:pPr>
            <w:r>
              <w:rPr>
                <w:rFonts w:cs="Times New Roman" w:ascii="Times New Roman" w:hAnsi="Times New Roman"/>
                <w:b/>
                <w:sz w:val="24"/>
                <w:szCs w:val="24"/>
              </w:rPr>
              <w:t xml:space="preserve">Pós fluxantes </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26</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i/>
                <w:i/>
                <w:sz w:val="24"/>
                <w:szCs w:val="24"/>
              </w:rPr>
            </w:pPr>
            <w:r>
              <w:rPr>
                <w:rStyle w:val="Strong"/>
                <w:rFonts w:cs="Times New Roman" w:ascii="Times New Roman" w:hAnsi="Times New Roman"/>
                <w:i/>
                <w:sz w:val="24"/>
                <w:szCs w:val="24"/>
              </w:rPr>
              <w:t>3.4.1</w:t>
            </w:r>
          </w:p>
        </w:tc>
        <w:tc>
          <w:tcPr>
            <w:tcW w:w="7499" w:type="dxa"/>
            <w:tcBorders/>
            <w:shd w:color="auto" w:fill="FFFFFF" w:val="clear"/>
          </w:tcPr>
          <w:p>
            <w:pPr>
              <w:pStyle w:val="Normal"/>
              <w:spacing w:lineRule="auto" w:line="360" w:before="0" w:after="0"/>
              <w:jc w:val="both"/>
              <w:rPr>
                <w:rStyle w:val="Strong"/>
                <w:rFonts w:ascii="Times New Roman" w:hAnsi="Times New Roman" w:cs="Times New Roman"/>
                <w:bCs w:val="false"/>
                <w:i/>
                <w:i/>
                <w:sz w:val="24"/>
                <w:szCs w:val="24"/>
              </w:rPr>
            </w:pPr>
            <w:r>
              <w:rPr>
                <w:rFonts w:cs="Times New Roman" w:ascii="Times New Roman" w:hAnsi="Times New Roman"/>
                <w:b/>
                <w:i/>
                <w:sz w:val="24"/>
                <w:szCs w:val="24"/>
              </w:rPr>
              <w:t xml:space="preserve">Funções do pó fluxante </w:t>
            </w:r>
            <w:r>
              <w:rPr>
                <w:rFonts w:cs="Times New Roman" w:ascii="Times New Roman" w:hAnsi="Times New Roman"/>
                <w:sz w:val="24"/>
                <w:szCs w:val="24"/>
              </w:rPr>
              <w:t>......................</w:t>
            </w:r>
            <w:r>
              <w:rPr>
                <w:rStyle w:val="Strong"/>
                <w:rFonts w:cs="Times New Roman" w:ascii="Times New Roman" w:hAnsi="Times New Roman"/>
                <w:b w:val="false"/>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28</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i/>
                <w:i/>
                <w:sz w:val="24"/>
                <w:szCs w:val="24"/>
              </w:rPr>
            </w:pPr>
            <w:r>
              <w:rPr>
                <w:rStyle w:val="Strong"/>
                <w:rFonts w:cs="Times New Roman" w:ascii="Times New Roman" w:hAnsi="Times New Roman"/>
                <w:i/>
                <w:sz w:val="24"/>
                <w:szCs w:val="24"/>
              </w:rPr>
              <w:t>3.4.2</w:t>
            </w:r>
          </w:p>
        </w:tc>
        <w:tc>
          <w:tcPr>
            <w:tcW w:w="7499" w:type="dxa"/>
            <w:tcBorders/>
            <w:shd w:color="auto" w:fill="FFFFFF" w:val="clear"/>
          </w:tcPr>
          <w:p>
            <w:pPr>
              <w:pStyle w:val="Contedodatabela"/>
              <w:spacing w:lineRule="auto" w:line="360" w:before="0" w:after="0"/>
              <w:rPr>
                <w:rStyle w:val="Strong"/>
                <w:rFonts w:ascii="Times New Roman" w:hAnsi="Times New Roman" w:cs="Times New Roman"/>
                <w:i/>
                <w:i/>
                <w:sz w:val="24"/>
                <w:szCs w:val="24"/>
              </w:rPr>
            </w:pPr>
            <w:r>
              <w:rPr>
                <w:rFonts w:cs="Times New Roman" w:ascii="Times New Roman" w:hAnsi="Times New Roman"/>
                <w:b/>
                <w:i/>
                <w:sz w:val="24"/>
                <w:szCs w:val="24"/>
              </w:rPr>
              <w:t xml:space="preserve">Composição química </w:t>
            </w:r>
            <w:r>
              <w:rPr>
                <w:rFonts w:cs="Times New Roman" w:ascii="Times New Roman" w:hAnsi="Times New Roman"/>
                <w:sz w:val="24"/>
                <w:szCs w:val="24"/>
              </w:rPr>
              <w:t>................</w:t>
            </w:r>
            <w:r>
              <w:rPr>
                <w:rStyle w:val="Strong"/>
                <w:rFonts w:cs="Times New Roman" w:ascii="Times New Roman" w:hAnsi="Times New Roman"/>
                <w:b w:val="false"/>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i/>
                <w:sz w:val="24"/>
                <w:szCs w:val="24"/>
              </w:rPr>
              <w:t xml:space="preserve"> </w:t>
            </w:r>
            <w:r>
              <w:rPr>
                <w:rFonts w:cs="Times New Roman" w:ascii="Times New Roman" w:hAnsi="Times New Roman"/>
                <w:sz w:val="24"/>
                <w:szCs w:val="24"/>
              </w:rPr>
              <w:t>31</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i/>
                <w:i/>
                <w:sz w:val="24"/>
                <w:szCs w:val="24"/>
              </w:rPr>
            </w:pPr>
            <w:r>
              <w:rPr>
                <w:rStyle w:val="Strong"/>
                <w:rFonts w:cs="Times New Roman" w:ascii="Times New Roman" w:hAnsi="Times New Roman"/>
                <w:b w:val="false"/>
                <w:i/>
                <w:sz w:val="24"/>
                <w:szCs w:val="24"/>
              </w:rPr>
              <w:t>3.4.2.1</w:t>
            </w:r>
          </w:p>
        </w:tc>
        <w:tc>
          <w:tcPr>
            <w:tcW w:w="7499" w:type="dxa"/>
            <w:tcBorders/>
            <w:shd w:color="auto" w:fill="FFFFFF" w:val="clear"/>
          </w:tcPr>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i/>
                <w:sz w:val="24"/>
                <w:szCs w:val="24"/>
              </w:rPr>
              <w:t xml:space="preserve">Pós fluxantes livre de flúor (fluorine-free) </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32</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i/>
                <w:i/>
                <w:sz w:val="24"/>
                <w:szCs w:val="24"/>
              </w:rPr>
            </w:pPr>
            <w:r>
              <w:rPr>
                <w:rStyle w:val="Strong"/>
                <w:rFonts w:cs="Times New Roman" w:ascii="Times New Roman" w:hAnsi="Times New Roman"/>
                <w:i/>
                <w:sz w:val="24"/>
                <w:szCs w:val="24"/>
              </w:rPr>
              <w:t>3.4.3</w:t>
            </w:r>
          </w:p>
        </w:tc>
        <w:tc>
          <w:tcPr>
            <w:tcW w:w="7499" w:type="dxa"/>
            <w:tcBorders/>
            <w:shd w:color="auto" w:fill="FFFFFF" w:val="clear"/>
          </w:tcPr>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i/>
                <w:sz w:val="24"/>
                <w:szCs w:val="24"/>
              </w:rPr>
              <w:t>Viscosidade</w:t>
            </w:r>
            <w:r>
              <w:rPr>
                <w:rFonts w:cs="Times New Roman" w:ascii="Times New Roman" w:hAnsi="Times New Roman"/>
                <w:b/>
                <w:sz w:val="24"/>
                <w:szCs w:val="24"/>
              </w:rPr>
              <w:t xml:space="preserve"> </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33</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i/>
                <w:i/>
                <w:sz w:val="24"/>
                <w:szCs w:val="24"/>
              </w:rPr>
            </w:pPr>
            <w:r>
              <w:rPr>
                <w:rStyle w:val="Strong"/>
                <w:rFonts w:cs="Times New Roman" w:ascii="Times New Roman" w:hAnsi="Times New Roman"/>
                <w:i/>
                <w:sz w:val="24"/>
                <w:szCs w:val="24"/>
              </w:rPr>
              <w:t>3.4.4</w:t>
            </w:r>
          </w:p>
        </w:tc>
        <w:tc>
          <w:tcPr>
            <w:tcW w:w="7499" w:type="dxa"/>
            <w:tcBorders/>
            <w:shd w:color="auto" w:fill="FFFFFF" w:val="clear"/>
          </w:tcPr>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i/>
                <w:sz w:val="24"/>
                <w:szCs w:val="24"/>
              </w:rPr>
              <w:t>Basicidade</w:t>
            </w:r>
            <w:r>
              <w:rPr>
                <w:rFonts w:cs="Times New Roman" w:ascii="Times New Roman" w:hAnsi="Times New Roman"/>
                <w:b/>
                <w:sz w:val="24"/>
                <w:szCs w:val="24"/>
              </w:rPr>
              <w:t xml:space="preserve"> </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34</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szCs w:val="24"/>
              </w:rPr>
            </w:pPr>
            <w:r>
              <w:rPr>
                <w:rStyle w:val="Strong"/>
                <w:rFonts w:cs="Times New Roman" w:ascii="Times New Roman" w:hAnsi="Times New Roman"/>
                <w:sz w:val="24"/>
                <w:szCs w:val="24"/>
              </w:rPr>
              <w:t>3.5</w:t>
            </w:r>
          </w:p>
        </w:tc>
        <w:tc>
          <w:tcPr>
            <w:tcW w:w="7499" w:type="dxa"/>
            <w:tcBorders/>
            <w:shd w:color="auto" w:fill="FFFFFF" w:val="clear"/>
          </w:tcPr>
          <w:p>
            <w:pPr>
              <w:pStyle w:val="Normal"/>
              <w:spacing w:lineRule="auto" w:line="360" w:before="0" w:after="0"/>
              <w:jc w:val="both"/>
              <w:rPr>
                <w:rStyle w:val="Strong"/>
                <w:rFonts w:ascii="Times New Roman" w:hAnsi="Times New Roman" w:cs="Times New Roman"/>
                <w:bCs w:val="false"/>
                <w:sz w:val="24"/>
                <w:szCs w:val="24"/>
              </w:rPr>
            </w:pPr>
            <w:r>
              <w:rPr>
                <w:rFonts w:cs="Times New Roman" w:ascii="Times New Roman" w:hAnsi="Times New Roman"/>
                <w:b/>
                <w:sz w:val="24"/>
                <w:szCs w:val="24"/>
              </w:rPr>
              <w:t xml:space="preserve">Cinética de cristalização do pó fluxante </w:t>
            </w:r>
            <w:r>
              <w:rPr>
                <w:rStyle w:val="Strong"/>
                <w:rFonts w:cs="Times New Roman" w:ascii="Times New Roman" w:hAnsi="Times New Roman"/>
                <w:b w:val="false"/>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36</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i/>
                <w:i/>
                <w:sz w:val="24"/>
                <w:szCs w:val="24"/>
              </w:rPr>
            </w:pPr>
            <w:r>
              <w:rPr>
                <w:rStyle w:val="Strong"/>
                <w:rFonts w:cs="Times New Roman" w:ascii="Times New Roman" w:hAnsi="Times New Roman"/>
                <w:i/>
                <w:sz w:val="24"/>
                <w:szCs w:val="24"/>
              </w:rPr>
              <w:t>3.5.1</w:t>
            </w:r>
          </w:p>
        </w:tc>
        <w:tc>
          <w:tcPr>
            <w:tcW w:w="7499" w:type="dxa"/>
            <w:tcBorders/>
            <w:shd w:color="auto" w:fill="FFFFFF" w:val="clear"/>
          </w:tcPr>
          <w:p>
            <w:pPr>
              <w:pStyle w:val="Normal"/>
              <w:spacing w:lineRule="auto" w:line="360" w:before="0" w:after="0"/>
              <w:rPr>
                <w:rFonts w:ascii="Times New Roman" w:hAnsi="Times New Roman" w:cs="Times New Roman"/>
                <w:b/>
                <w:b/>
                <w:i/>
                <w:i/>
                <w:sz w:val="24"/>
                <w:szCs w:val="24"/>
              </w:rPr>
            </w:pPr>
            <w:r>
              <w:rPr>
                <w:rStyle w:val="Strong"/>
                <w:rFonts w:cs="Times New Roman" w:ascii="Times New Roman" w:hAnsi="Times New Roman"/>
                <w:i/>
                <w:sz w:val="24"/>
                <w:szCs w:val="24"/>
              </w:rPr>
              <w:t xml:space="preserve">Transformação vítrea </w:t>
            </w:r>
            <w:r>
              <w:rPr>
                <w:rStyle w:val="Strong"/>
                <w:rFonts w:cs="Times New Roman" w:ascii="Times New Roman" w:hAnsi="Times New Roman"/>
                <w:b w:val="false"/>
                <w:sz w:val="24"/>
                <w:szCs w:val="24"/>
              </w:rPr>
              <w:t>.......................................................................................</w:t>
            </w:r>
          </w:p>
        </w:tc>
        <w:tc>
          <w:tcPr>
            <w:tcW w:w="547" w:type="dxa"/>
            <w:tcBorders/>
            <w:shd w:color="auto" w:fill="FFFFFF" w:val="clear"/>
            <w:vAlign w:val="bottom"/>
          </w:tcPr>
          <w:p>
            <w:pPr>
              <w:pStyle w:val="Contedodatabela"/>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36</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i/>
                <w:i/>
                <w:sz w:val="24"/>
              </w:rPr>
            </w:pPr>
            <w:r>
              <w:rPr>
                <w:rStyle w:val="Strong"/>
                <w:rFonts w:cs="Times New Roman" w:ascii="Times New Roman" w:hAnsi="Times New Roman"/>
                <w:i/>
                <w:sz w:val="24"/>
              </w:rPr>
              <w:t>3.5.2</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Style w:val="Strong"/>
                <w:rFonts w:cs="Times New Roman" w:ascii="Times New Roman" w:hAnsi="Times New Roman"/>
                <w:i/>
                <w:sz w:val="24"/>
              </w:rPr>
              <w:t xml:space="preserve">Nucleação </w:t>
            </w:r>
            <w:r>
              <w:rPr>
                <w:rStyle w:val="Strong"/>
                <w:rFonts w:cs="Times New Roman" w:ascii="Times New Roman" w:hAnsi="Times New Roman"/>
                <w:b w:val="false"/>
                <w:sz w:val="24"/>
              </w:rPr>
              <w:t>..........................................................................................................</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i/>
                <w:i/>
                <w:sz w:val="24"/>
              </w:rPr>
            </w:pPr>
            <w:r>
              <w:rPr>
                <w:rStyle w:val="Strong"/>
                <w:rFonts w:cs="Times New Roman" w:ascii="Times New Roman" w:hAnsi="Times New Roman"/>
                <w:b w:val="false"/>
                <w:i/>
                <w:sz w:val="24"/>
              </w:rPr>
              <w:t>37</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i/>
                <w:i/>
                <w:sz w:val="24"/>
              </w:rPr>
            </w:pPr>
            <w:r>
              <w:rPr>
                <w:rStyle w:val="Strong"/>
                <w:rFonts w:cs="Times New Roman" w:ascii="Times New Roman" w:hAnsi="Times New Roman"/>
                <w:b w:val="false"/>
                <w:i/>
                <w:sz w:val="24"/>
              </w:rPr>
              <w:t>3.5.2.1</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Fonts w:cs="Times New Roman" w:ascii="Times New Roman" w:hAnsi="Times New Roman"/>
                <w:i/>
                <w:sz w:val="24"/>
                <w:szCs w:val="24"/>
              </w:rPr>
              <w:t xml:space="preserve">Nucleação homogênea </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39</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i/>
                <w:i/>
                <w:sz w:val="24"/>
              </w:rPr>
            </w:pPr>
            <w:r>
              <w:rPr>
                <w:rStyle w:val="Strong"/>
                <w:rFonts w:cs="Times New Roman" w:ascii="Times New Roman" w:hAnsi="Times New Roman"/>
                <w:b w:val="false"/>
                <w:i/>
                <w:sz w:val="24"/>
              </w:rPr>
              <w:t>3.5.2.2</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Fonts w:cs="Times New Roman" w:ascii="Times New Roman" w:hAnsi="Times New Roman"/>
                <w:i/>
                <w:sz w:val="24"/>
                <w:szCs w:val="24"/>
              </w:rPr>
              <w:t xml:space="preserve">Nucleação heterogênea </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41</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i/>
                <w:i/>
                <w:sz w:val="24"/>
              </w:rPr>
            </w:pPr>
            <w:r>
              <w:rPr>
                <w:rStyle w:val="Strong"/>
                <w:rFonts w:cs="Times New Roman" w:ascii="Times New Roman" w:hAnsi="Times New Roman"/>
                <w:b w:val="false"/>
                <w:i/>
                <w:sz w:val="24"/>
              </w:rPr>
              <w:t>3.5.2.3</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Fonts w:cs="Times New Roman" w:ascii="Times New Roman" w:hAnsi="Times New Roman"/>
                <w:i/>
                <w:sz w:val="24"/>
                <w:szCs w:val="24"/>
              </w:rPr>
              <w:t xml:space="preserve">Taxa de nucleação </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44</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Style w:val="Strong"/>
                <w:rFonts w:cs="Times New Roman" w:ascii="Times New Roman" w:hAnsi="Times New Roman"/>
                <w:sz w:val="24"/>
              </w:rPr>
              <w:t>3.5.3</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Style w:val="Strong"/>
                <w:rFonts w:cs="Times New Roman" w:ascii="Times New Roman" w:hAnsi="Times New Roman"/>
                <w:i/>
                <w:sz w:val="24"/>
              </w:rPr>
              <w:t>Crescimento</w:t>
            </w:r>
            <w:r>
              <w:rPr>
                <w:rStyle w:val="Strong"/>
                <w:rFonts w:cs="Times New Roman" w:ascii="Times New Roman" w:hAnsi="Times New Roman"/>
                <w:b w:val="false"/>
                <w:sz w:val="24"/>
              </w:rPr>
              <w:t xml:space="preserve"> .......................................................................................................</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46</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i/>
                <w:i/>
                <w:sz w:val="24"/>
              </w:rPr>
            </w:pPr>
            <w:r>
              <w:rPr>
                <w:rStyle w:val="Strong"/>
                <w:rFonts w:cs="Times New Roman" w:ascii="Times New Roman" w:hAnsi="Times New Roman"/>
                <w:b w:val="false"/>
                <w:i/>
                <w:sz w:val="24"/>
              </w:rPr>
              <w:t>3.5.3.1</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Style w:val="Strong"/>
                <w:rFonts w:cs="Times New Roman" w:ascii="Times New Roman" w:hAnsi="Times New Roman"/>
                <w:b w:val="false"/>
                <w:i/>
                <w:sz w:val="24"/>
              </w:rPr>
              <w:t>Taxa de crescimento</w:t>
            </w:r>
            <w:r>
              <w:rPr>
                <w:rStyle w:val="Strong"/>
                <w:rFonts w:cs="Times New Roman" w:ascii="Times New Roman" w:hAnsi="Times New Roman"/>
                <w:b w:val="false"/>
                <w:sz w:val="24"/>
              </w:rPr>
              <w:t xml:space="preserve"> ...........................................................................................</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47</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Style w:val="Strong"/>
                <w:rFonts w:cs="Times New Roman" w:ascii="Times New Roman" w:hAnsi="Times New Roman"/>
                <w:sz w:val="24"/>
              </w:rPr>
              <w:t>3.5.4</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Style w:val="Strong"/>
                <w:rFonts w:cs="Times New Roman" w:ascii="Times New Roman" w:hAnsi="Times New Roman"/>
                <w:i/>
                <w:sz w:val="24"/>
              </w:rPr>
              <w:t>Transformações de fase</w:t>
            </w:r>
            <w:r>
              <w:rPr>
                <w:rStyle w:val="Strong"/>
                <w:rFonts w:cs="Times New Roman" w:ascii="Times New Roman" w:hAnsi="Times New Roman"/>
                <w:b w:val="false"/>
                <w:sz w:val="24"/>
              </w:rPr>
              <w:t xml:space="preserve"> .....................................................................................</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49</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i/>
                <w:i/>
                <w:sz w:val="24"/>
              </w:rPr>
            </w:pPr>
            <w:r>
              <w:rPr>
                <w:rStyle w:val="Strong"/>
                <w:rFonts w:cs="Times New Roman" w:ascii="Times New Roman" w:hAnsi="Times New Roman"/>
                <w:b w:val="false"/>
                <w:i/>
                <w:sz w:val="24"/>
              </w:rPr>
              <w:t>3.5.4.1</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Style w:val="Strong"/>
                <w:rFonts w:cs="Times New Roman" w:ascii="Times New Roman" w:hAnsi="Times New Roman"/>
                <w:b w:val="false"/>
                <w:i/>
                <w:sz w:val="24"/>
              </w:rPr>
              <w:t>Energia de ativação</w:t>
            </w:r>
            <w:r>
              <w:rPr>
                <w:rStyle w:val="Strong"/>
                <w:rFonts w:cs="Times New Roman" w:ascii="Times New Roman" w:hAnsi="Times New Roman"/>
                <w:b w:val="false"/>
                <w:sz w:val="24"/>
              </w:rPr>
              <w:t xml:space="preserve"> ............................................................................................</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54</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Style w:val="Strong"/>
                <w:rFonts w:cs="Times New Roman" w:ascii="Times New Roman" w:hAnsi="Times New Roman"/>
                <w:sz w:val="24"/>
              </w:rPr>
              <w:t>3.6</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Fonts w:cs="Times New Roman" w:ascii="Times New Roman" w:hAnsi="Times New Roman"/>
                <w:b/>
                <w:sz w:val="24"/>
                <w:szCs w:val="24"/>
              </w:rPr>
              <w:t>C</w:t>
            </w:r>
            <w:r>
              <w:rPr>
                <w:rFonts w:cs="Times New Roman" w:ascii="Times New Roman" w:hAnsi="Times New Roman"/>
                <w:b/>
                <w:bCs/>
                <w:iCs/>
                <w:color w:val="000000"/>
                <w:sz w:val="24"/>
                <w:szCs w:val="24"/>
              </w:rPr>
              <w:t>alorimetria Exploratória Diferencial</w:t>
            </w:r>
            <w:r>
              <w:rPr>
                <w:rFonts w:cs="Times New Roman" w:ascii="Times New Roman" w:hAnsi="Times New Roman"/>
                <w:b/>
                <w:sz w:val="24"/>
                <w:szCs w:val="24"/>
              </w:rPr>
              <w:t xml:space="preserve"> - DSC </w:t>
            </w:r>
            <w:r>
              <w:rPr>
                <w:rStyle w:val="Strong"/>
                <w:rFonts w:cs="Times New Roman" w:ascii="Times New Roman" w:hAnsi="Times New Roman"/>
                <w:b w:val="false"/>
                <w:sz w:val="24"/>
              </w:rPr>
              <w:t>................................................</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56</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Style w:val="Strong"/>
                <w:rFonts w:cs="Times New Roman" w:ascii="Times New Roman" w:hAnsi="Times New Roman"/>
                <w:sz w:val="24"/>
              </w:rPr>
              <w:t>3.7</w:t>
            </w:r>
          </w:p>
        </w:tc>
        <w:tc>
          <w:tcPr>
            <w:tcW w:w="7499" w:type="dxa"/>
            <w:tcBorders/>
            <w:shd w:color="auto" w:fill="FFFFFF" w:val="clear"/>
          </w:tcPr>
          <w:p>
            <w:pPr>
              <w:pStyle w:val="Contedodatabela"/>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 xml:space="preserve">Microscopia Eletrônica de varredura - MEV </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58</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Style w:val="Strong"/>
                <w:rFonts w:cs="Times New Roman" w:ascii="Times New Roman" w:hAnsi="Times New Roman"/>
                <w:sz w:val="24"/>
              </w:rPr>
              <w:t>4</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Style w:val="Strong"/>
                <w:rFonts w:cs="Times New Roman" w:ascii="Times New Roman" w:hAnsi="Times New Roman"/>
                <w:sz w:val="24"/>
              </w:rPr>
              <w:t>MATERIAIS E MÉTODOS</w:t>
            </w:r>
            <w:r>
              <w:rPr>
                <w:rStyle w:val="Strong"/>
                <w:rFonts w:cs="Times New Roman" w:ascii="Times New Roman" w:hAnsi="Times New Roman"/>
                <w:b w:val="false"/>
                <w:sz w:val="24"/>
              </w:rPr>
              <w:t xml:space="preserve"> ...........................................................................</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60</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Style w:val="Strong"/>
                <w:rFonts w:cs="Times New Roman" w:ascii="Times New Roman" w:hAnsi="Times New Roman"/>
                <w:sz w:val="24"/>
              </w:rPr>
              <w:t>5</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Style w:val="Strong"/>
                <w:rFonts w:cs="Times New Roman" w:ascii="Times New Roman" w:hAnsi="Times New Roman"/>
                <w:sz w:val="24"/>
              </w:rPr>
              <w:t>RESULTADOS E DISCUSSÃO.</w:t>
            </w:r>
            <w:r>
              <w:rPr>
                <w:rStyle w:val="Strong"/>
                <w:rFonts w:cs="Times New Roman" w:ascii="Times New Roman" w:hAnsi="Times New Roman"/>
                <w:b w:val="false"/>
                <w:sz w:val="24"/>
              </w:rPr>
              <w:t>.....................................................................</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63</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Style w:val="Strong"/>
                <w:rFonts w:cs="Times New Roman" w:ascii="Times New Roman" w:hAnsi="Times New Roman"/>
                <w:sz w:val="24"/>
              </w:rPr>
              <w:t>5.1</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Fonts w:cs="Times New Roman" w:ascii="Times New Roman" w:hAnsi="Times New Roman"/>
                <w:b/>
                <w:color w:val="121412"/>
                <w:sz w:val="24"/>
                <w:szCs w:val="24"/>
              </w:rPr>
              <w:t xml:space="preserve">Medição isotérmica </w:t>
            </w:r>
            <w:r>
              <w:rPr>
                <w:rFonts w:cs="Times New Roman" w:ascii="Times New Roman" w:hAnsi="Times New Roman"/>
                <w:color w:val="121412"/>
                <w:sz w:val="24"/>
                <w:szCs w:val="24"/>
              </w:rPr>
              <w:t>...........................................................................................</w:t>
            </w:r>
            <w:r>
              <w:rPr>
                <w:rFonts w:cs="Times New Roman" w:ascii="Times New Roman" w:hAnsi="Times New Roman"/>
                <w:b/>
                <w:color w:val="121412"/>
                <w:sz w:val="24"/>
                <w:szCs w:val="24"/>
              </w:rPr>
              <w:t xml:space="preserve"> </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63</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Style w:val="Strong"/>
                <w:rFonts w:cs="Times New Roman" w:ascii="Times New Roman" w:hAnsi="Times New Roman"/>
                <w:sz w:val="24"/>
              </w:rPr>
              <w:t>5.2</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Fonts w:cs="Times New Roman" w:ascii="Times New Roman" w:hAnsi="Times New Roman"/>
                <w:b/>
                <w:sz w:val="24"/>
                <w:szCs w:val="24"/>
              </w:rPr>
              <w:t xml:space="preserve">Cinética de cristalização isotérmica </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65</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Style w:val="Strong"/>
                <w:rFonts w:cs="Times New Roman" w:ascii="Times New Roman" w:hAnsi="Times New Roman"/>
                <w:sz w:val="24"/>
              </w:rPr>
              <w:t>5.3</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Fonts w:cs="Times New Roman" w:ascii="Times New Roman" w:hAnsi="Times New Roman"/>
                <w:b/>
                <w:sz w:val="24"/>
                <w:szCs w:val="24"/>
              </w:rPr>
              <w:t xml:space="preserve">Morfologia do cristal </w:t>
            </w:r>
            <w:r>
              <w:rPr>
                <w:rFonts w:cs="Times New Roman" w:ascii="Times New Roman" w:hAnsi="Times New Roman"/>
                <w:sz w:val="24"/>
                <w:szCs w:val="24"/>
              </w:rPr>
              <w:t>........................................................................................</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70</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Style w:val="Strong"/>
                <w:rFonts w:cs="Times New Roman" w:ascii="Times New Roman" w:hAnsi="Times New Roman"/>
                <w:sz w:val="24"/>
              </w:rPr>
              <w:t>6</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Style w:val="Strong"/>
                <w:rFonts w:cs="Times New Roman" w:ascii="Times New Roman" w:hAnsi="Times New Roman"/>
                <w:sz w:val="24"/>
              </w:rPr>
              <w:t>CONCLUSÃO</w:t>
            </w:r>
            <w:r>
              <w:rPr>
                <w:rStyle w:val="Strong"/>
                <w:rFonts w:cs="Times New Roman" w:ascii="Times New Roman" w:hAnsi="Times New Roman"/>
                <w:b w:val="false"/>
                <w:sz w:val="24"/>
              </w:rPr>
              <w:t xml:space="preserve"> ..................................................................................................</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73</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sz w:val="24"/>
              </w:rPr>
            </w:pPr>
            <w:r>
              <w:rPr>
                <w:rStyle w:val="Strong"/>
                <w:rFonts w:cs="Times New Roman" w:ascii="Times New Roman" w:hAnsi="Times New Roman"/>
                <w:sz w:val="24"/>
              </w:rPr>
              <w:t>7</w:t>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Style w:val="Strong"/>
                <w:rFonts w:cs="Times New Roman" w:ascii="Times New Roman" w:hAnsi="Times New Roman"/>
                <w:sz w:val="24"/>
              </w:rPr>
              <w:t>SUGESTÕES PARA TRABALHOS FUTUROS</w:t>
            </w:r>
            <w:r>
              <w:rPr>
                <w:rStyle w:val="Strong"/>
                <w:rFonts w:cs="Times New Roman" w:ascii="Times New Roman" w:hAnsi="Times New Roman"/>
                <w:b w:val="false"/>
                <w:sz w:val="24"/>
              </w:rPr>
              <w:t xml:space="preserve"> ..........................................</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74</w:t>
            </w:r>
          </w:p>
        </w:tc>
      </w:tr>
      <w:tr>
        <w:trPr>
          <w:trHeight w:val="62" w:hRule="atLeast"/>
        </w:trPr>
        <w:tc>
          <w:tcPr>
            <w:tcW w:w="1025"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Fonts w:cs="Times New Roman" w:ascii="Times New Roman" w:hAnsi="Times New Roman"/>
                <w:b w:val="false"/>
                <w:sz w:val="24"/>
              </w:rPr>
            </w:r>
          </w:p>
        </w:tc>
        <w:tc>
          <w:tcPr>
            <w:tcW w:w="7499" w:type="dxa"/>
            <w:tcBorders/>
            <w:shd w:color="auto" w:fill="FFFFFF" w:val="clear"/>
          </w:tcPr>
          <w:p>
            <w:pPr>
              <w:pStyle w:val="Contedodatabela"/>
              <w:spacing w:lineRule="auto" w:line="360" w:before="0" w:after="0"/>
              <w:jc w:val="both"/>
              <w:rPr>
                <w:rStyle w:val="Strong"/>
                <w:rFonts w:ascii="Times New Roman" w:hAnsi="Times New Roman" w:cs="Times New Roman"/>
                <w:b w:val="false"/>
                <w:b w:val="false"/>
                <w:sz w:val="24"/>
              </w:rPr>
            </w:pPr>
            <w:r>
              <w:rPr>
                <w:rStyle w:val="Strong"/>
                <w:rFonts w:cs="Times New Roman" w:ascii="Times New Roman" w:hAnsi="Times New Roman"/>
                <w:sz w:val="24"/>
              </w:rPr>
              <w:t>REFERÊNCIAS</w:t>
            </w:r>
            <w:r>
              <w:rPr>
                <w:rStyle w:val="Strong"/>
                <w:rFonts w:cs="Times New Roman" w:ascii="Times New Roman" w:hAnsi="Times New Roman"/>
                <w:b w:val="false"/>
                <w:sz w:val="24"/>
              </w:rPr>
              <w:t xml:space="preserve"> ...............................................................................................</w:t>
            </w:r>
          </w:p>
        </w:tc>
        <w:tc>
          <w:tcPr>
            <w:tcW w:w="547" w:type="dxa"/>
            <w:tcBorders/>
            <w:shd w:color="auto" w:fill="FFFFFF" w:val="clear"/>
            <w:vAlign w:val="bottom"/>
          </w:tcPr>
          <w:p>
            <w:pPr>
              <w:pStyle w:val="Contedodatabela"/>
              <w:spacing w:lineRule="auto" w:line="360" w:before="0" w:after="0"/>
              <w:jc w:val="right"/>
              <w:rPr>
                <w:rStyle w:val="Strong"/>
                <w:rFonts w:ascii="Times New Roman" w:hAnsi="Times New Roman" w:cs="Times New Roman"/>
                <w:b w:val="false"/>
                <w:b w:val="false"/>
                <w:sz w:val="24"/>
              </w:rPr>
            </w:pPr>
            <w:r>
              <w:rPr>
                <w:rStyle w:val="Strong"/>
                <w:rFonts w:cs="Times New Roman" w:ascii="Times New Roman" w:hAnsi="Times New Roman"/>
                <w:b w:val="false"/>
                <w:sz w:val="24"/>
              </w:rPr>
              <w:t>75</w:t>
            </w:r>
          </w:p>
        </w:tc>
      </w:tr>
    </w:tbl>
    <w:p>
      <w:pPr>
        <w:sectPr>
          <w:headerReference w:type="default" r:id="rId4"/>
          <w:type w:val="nextPage"/>
          <w:pgSz w:w="11906" w:h="16838"/>
          <w:pgMar w:left="1701" w:right="1134" w:header="720" w:top="1701" w:footer="0" w:bottom="1134" w:gutter="0"/>
          <w:pgNumType w:fmt="decimal"/>
          <w:formProt w:val="false"/>
          <w:textDirection w:val="lrTb"/>
          <w:docGrid w:type="default" w:linePitch="299" w:charSpace="4294966885"/>
        </w:sectPr>
      </w:pPr>
    </w:p>
    <w:p>
      <w:pPr>
        <w:pStyle w:val="Corpodetexto"/>
        <w:spacing w:lineRule="auto" w:line="360" w:before="0" w:after="0"/>
        <w:jc w:val="both"/>
        <w:rPr>
          <w:rFonts w:ascii="Times New Roman" w:hAnsi="Times New Roman" w:cs="Times New Roman"/>
          <w:b/>
          <w:b/>
          <w:bCs/>
          <w:sz w:val="24"/>
          <w:szCs w:val="24"/>
        </w:rPr>
      </w:pPr>
      <w:r>
        <w:rPr>
          <w:rFonts w:cs="Times New Roman" w:ascii="Times New Roman" w:hAnsi="Times New Roman"/>
          <w:b/>
          <w:bCs/>
          <w:sz w:val="24"/>
          <w:szCs w:val="24"/>
        </w:rPr>
        <w:t>1 INTRODUÇÃO</w:t>
      </w:r>
    </w:p>
    <w:p>
      <w:pPr>
        <w:pStyle w:val="Corpodetexto"/>
        <w:spacing w:lineRule="auto" w:line="36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360" w:before="0" w:after="0"/>
        <w:ind w:right="-1" w:firstLine="1134"/>
        <w:jc w:val="both"/>
        <w:rPr>
          <w:rFonts w:ascii="Times New Roman" w:hAnsi="Times New Roman" w:cs="Times New Roman"/>
          <w:sz w:val="24"/>
          <w:szCs w:val="24"/>
        </w:rPr>
      </w:pPr>
      <w:bookmarkStart w:id="24" w:name="_Hlk160776165"/>
      <w:r>
        <w:rPr>
          <w:rFonts w:cs="Times New Roman" w:ascii="Times New Roman" w:hAnsi="Times New Roman"/>
          <w:sz w:val="24"/>
          <w:szCs w:val="24"/>
        </w:rPr>
        <w:t xml:space="preserve">O aço é a liga metálica mais utilizada pela indústria, pois sua grande versatilidade e seu baixo custo possibilitam a sua utilização em uma ampla gama de aplicações, desde minúsculas peças como engrenagens de relógios, molas de expansão das veias cardíacas, até grandes estruturas como pontes, edifícios e navios. </w:t>
      </w:r>
      <w:bookmarkEnd w:id="24"/>
      <w:r>
        <w:rPr>
          <w:rFonts w:cs="Times New Roman" w:ascii="Times New Roman" w:hAnsi="Times New Roman"/>
          <w:sz w:val="24"/>
          <w:szCs w:val="24"/>
        </w:rPr>
        <w:t>A produção de aço é uma atividade de grande potencial para geração de crescimento econômico e social de uma região e de um país, seja pela necessidade de mão-de-obra qualificada, pela elevada utilização de matérias-primas e insumos (minérios, refratários, gases industriais, sucatas), pela geração de várias indústrias de fornecimento de equipamentos ou componentes (máquinas, caldeiras, sensores, motores) e serviços (manutenção mecânica, elétrica, instrumentação e refratários), além de indústrias para utilização local dos produtos siderúrgicos (metalúrgicas para produção de tubos ou estruturas metálicas ou estampados pré-moldados, relaminações, fábricas de cimento, recuperação de escória e lamas, termoelétricas) (Rizzo, 2005).</w:t>
      </w:r>
    </w:p>
    <w:p>
      <w:pPr>
        <w:pStyle w:val="Normal"/>
        <w:spacing w:lineRule="auto" w:line="360" w:before="0" w:after="0"/>
        <w:ind w:right="-1" w:firstLine="1134"/>
        <w:jc w:val="both"/>
        <w:rPr>
          <w:rFonts w:ascii="Times New Roman" w:hAnsi="Times New Roman" w:cs="Times New Roman"/>
          <w:sz w:val="24"/>
          <w:szCs w:val="24"/>
        </w:rPr>
      </w:pPr>
      <w:r>
        <w:rPr>
          <w:rFonts w:cs="Times New Roman" w:ascii="Times New Roman" w:hAnsi="Times New Roman"/>
          <w:sz w:val="24"/>
          <w:szCs w:val="24"/>
        </w:rPr>
        <w:t xml:space="preserve">Conforme a </w:t>
      </w:r>
      <w:bookmarkStart w:id="25" w:name="_Hlk156985114"/>
      <w:r>
        <w:rPr>
          <w:rFonts w:cs="Times New Roman" w:ascii="Times New Roman" w:hAnsi="Times New Roman"/>
          <w:sz w:val="24"/>
          <w:szCs w:val="24"/>
        </w:rPr>
        <w:t>Aço Brasil (2023)</w:t>
      </w:r>
      <w:bookmarkEnd w:id="25"/>
      <w:r>
        <w:rPr>
          <w:rFonts w:cs="Times New Roman" w:ascii="Times New Roman" w:hAnsi="Times New Roman"/>
          <w:sz w:val="24"/>
          <w:szCs w:val="24"/>
        </w:rPr>
        <w:t xml:space="preserve">, nosso país apresenta vocação e potencial ainda não adequadamente explorado para o desenvolvimento na área siderúrgica, pois temos grande parte das matérias-primas, parque tecnológico competitivo, mão-de-obra qualificada e localização privilegiada. </w:t>
      </w:r>
    </w:p>
    <w:p>
      <w:pPr>
        <w:pStyle w:val="Normal"/>
        <w:spacing w:lineRule="auto" w:line="360" w:before="0" w:after="0"/>
        <w:ind w:right="-1" w:firstLine="1134"/>
        <w:jc w:val="both"/>
        <w:rPr>
          <w:rFonts w:ascii="Times New Roman" w:hAnsi="Times New Roman" w:cs="Times New Roman"/>
          <w:sz w:val="24"/>
          <w:szCs w:val="24"/>
        </w:rPr>
      </w:pPr>
      <w:r>
        <w:rPr>
          <w:rFonts w:cs="Times New Roman" w:ascii="Times New Roman" w:hAnsi="Times New Roman"/>
          <w:sz w:val="24"/>
          <w:szCs w:val="24"/>
        </w:rPr>
        <w:t>A produção brasileira de aço bruto e a respectiva proporção em relação a produção mundial evoluíram da forma representada na figura 1.</w:t>
      </w:r>
    </w:p>
    <w:p>
      <w:pPr>
        <w:pStyle w:val="Normal"/>
        <w:spacing w:lineRule="auto" w:line="360" w:before="0" w:after="0"/>
        <w:ind w:right="-1"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142" w:right="-1" w:hanging="0"/>
        <w:jc w:val="both"/>
        <w:rPr>
          <w:rFonts w:ascii="Times New Roman" w:hAnsi="Times New Roman" w:cs="Times New Roman"/>
          <w:sz w:val="24"/>
          <w:szCs w:val="24"/>
        </w:rPr>
      </w:pPr>
      <w:r>
        <w:rPr>
          <w:rFonts w:cs="Times New Roman" w:ascii="Times New Roman" w:hAnsi="Times New Roman"/>
          <w:sz w:val="24"/>
          <w:szCs w:val="24"/>
        </w:rPr>
        <w:t xml:space="preserve">Figura 1 - Produção brasileira de aço bruto. </w:t>
      </w:r>
    </w:p>
    <w:p>
      <w:pPr>
        <w:pStyle w:val="Normal"/>
        <w:spacing w:lineRule="auto" w:line="360" w:before="0" w:after="0"/>
        <w:ind w:left="142" w:right="-1" w:hanging="0"/>
        <w:jc w:val="both"/>
        <w:rPr>
          <w:rFonts w:ascii="Times New Roman" w:hAnsi="Times New Roman" w:cs="Times New Roman"/>
          <w:sz w:val="24"/>
          <w:szCs w:val="24"/>
        </w:rPr>
      </w:pPr>
      <w:r>
        <w:rPr/>
        <w:drawing>
          <wp:inline distT="0" distB="0" distL="0" distR="8255">
            <wp:extent cx="5307330" cy="2057400"/>
            <wp:effectExtent l="0" t="0" r="0" b="0"/>
            <wp:docPr id="9" name="Imagem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8" descr=""/>
                    <pic:cNvPicPr>
                      <a:picLocks noChangeAspect="1" noChangeArrowheads="1"/>
                    </pic:cNvPicPr>
                  </pic:nvPicPr>
                  <pic:blipFill>
                    <a:blip r:embed="rId5"/>
                    <a:srcRect l="4972" t="20833" r="4938" b="13627"/>
                    <a:stretch>
                      <a:fillRect/>
                    </a:stretch>
                  </pic:blipFill>
                  <pic:spPr bwMode="auto">
                    <a:xfrm>
                      <a:off x="0" y="0"/>
                      <a:ext cx="5307330" cy="2057400"/>
                    </a:xfrm>
                    <a:prstGeom prst="rect">
                      <a:avLst/>
                    </a:prstGeom>
                  </pic:spPr>
                </pic:pic>
              </a:graphicData>
            </a:graphic>
          </wp:inline>
        </w:drawing>
      </w:r>
    </w:p>
    <w:p>
      <w:pPr>
        <w:pStyle w:val="Normal"/>
        <w:spacing w:lineRule="auto" w:line="360" w:before="0" w:after="0"/>
        <w:ind w:left="142" w:right="-1" w:hanging="0"/>
        <w:jc w:val="both"/>
        <w:rPr>
          <w:rFonts w:ascii="Times New Roman" w:hAnsi="Times New Roman" w:cs="Times New Roman"/>
          <w:sz w:val="20"/>
          <w:szCs w:val="20"/>
        </w:rPr>
      </w:pPr>
      <w:r>
        <w:rPr>
          <w:rFonts w:cs="Times New Roman" w:ascii="Times New Roman" w:hAnsi="Times New Roman"/>
          <w:sz w:val="20"/>
          <w:szCs w:val="20"/>
        </w:rPr>
        <w:t>Fonte: AÇO BRASIL (2023).</w:t>
      </w:r>
    </w:p>
    <w:p>
      <w:pPr>
        <w:pStyle w:val="Normal"/>
        <w:spacing w:lineRule="auto" w:line="360" w:before="0" w:after="0"/>
        <w:ind w:right="-1" w:hanging="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360" w:before="0" w:after="0"/>
        <w:ind w:right="-1" w:firstLine="1134"/>
        <w:jc w:val="both"/>
        <w:rPr>
          <w:rFonts w:ascii="Times New Roman" w:hAnsi="Times New Roman" w:cs="Times New Roman"/>
          <w:sz w:val="24"/>
          <w:szCs w:val="24"/>
        </w:rPr>
      </w:pPr>
      <w:r>
        <w:rPr>
          <w:rFonts w:cs="Times New Roman" w:ascii="Times New Roman" w:hAnsi="Times New Roman"/>
          <w:sz w:val="24"/>
          <w:szCs w:val="24"/>
        </w:rPr>
        <w:t xml:space="preserve">De acordo com a figura 1, a produção de aço no Brasil ainda é pequena ao se considerar o porte das reservas de minério de ferro e o potencial do mercado consumidor.  </w:t>
      </w:r>
    </w:p>
    <w:p>
      <w:pPr>
        <w:pStyle w:val="Normal"/>
        <w:spacing w:lineRule="auto" w:line="360" w:before="0" w:after="0"/>
        <w:ind w:right="-1" w:firstLine="1134"/>
        <w:jc w:val="both"/>
        <w:rPr>
          <w:rFonts w:ascii="Times New Roman" w:hAnsi="Times New Roman" w:cs="Times New Roman"/>
          <w:sz w:val="24"/>
          <w:szCs w:val="24"/>
        </w:rPr>
      </w:pPr>
      <w:bookmarkStart w:id="26" w:name="_Hlk160776249"/>
      <w:r>
        <w:rPr>
          <w:rFonts w:cs="Times New Roman" w:ascii="Times New Roman" w:hAnsi="Times New Roman"/>
          <w:color w:val="000000"/>
          <w:sz w:val="24"/>
          <w:szCs w:val="24"/>
          <w:shd w:fill="FFFFFF" w:val="clear"/>
        </w:rPr>
        <w:t>Os aços elaborados nos processos de refino das aciarias podem seguir dois caminhos para a realização da sua solidificação, o lingotamento convencional e o lingotamento contínuo.</w:t>
      </w:r>
      <w:r>
        <w:rPr>
          <w:rFonts w:cs="Times New Roman" w:ascii="Times New Roman" w:hAnsi="Times New Roman"/>
          <w:sz w:val="24"/>
          <w:szCs w:val="24"/>
        </w:rPr>
        <w:t xml:space="preserve"> </w:t>
      </w:r>
      <w:bookmarkStart w:id="27" w:name="_Hlk160776304"/>
      <w:bookmarkEnd w:id="26"/>
      <w:r>
        <w:rPr>
          <w:rFonts w:cs="Times New Roman" w:ascii="Times New Roman" w:hAnsi="Times New Roman"/>
          <w:sz w:val="24"/>
          <w:szCs w:val="24"/>
        </w:rPr>
        <w:t xml:space="preserve">O lingotamento contínuo resulta em menor custo de produção com melhor qualidade e o maior controle sobre o processo através da automação </w:t>
      </w:r>
      <w:bookmarkEnd w:id="27"/>
      <w:r>
        <w:rPr>
          <w:rFonts w:cs="Times New Roman" w:ascii="Times New Roman" w:hAnsi="Times New Roman"/>
          <w:sz w:val="24"/>
          <w:szCs w:val="24"/>
        </w:rPr>
        <w:t>(Rizzo, 2005).</w:t>
      </w:r>
    </w:p>
    <w:p>
      <w:pPr>
        <w:pStyle w:val="Normal"/>
        <w:spacing w:lineRule="auto" w:line="360" w:before="0" w:after="0"/>
        <w:ind w:right="-1" w:firstLine="1134"/>
        <w:jc w:val="both"/>
        <w:rPr>
          <w:rFonts w:ascii="Times New Roman" w:hAnsi="Times New Roman" w:cs="Times New Roman"/>
          <w:sz w:val="24"/>
          <w:szCs w:val="24"/>
        </w:rPr>
      </w:pPr>
      <w:r>
        <w:rPr>
          <w:rFonts w:cs="Times New Roman" w:ascii="Times New Roman" w:hAnsi="Times New Roman"/>
          <w:sz w:val="24"/>
          <w:szCs w:val="24"/>
        </w:rPr>
        <w:t xml:space="preserve">A figura 2 destaca que o processo de lingotamento contínuo </w:t>
      </w:r>
      <w:bookmarkStart w:id="28" w:name="_Hlk160776318"/>
      <w:r>
        <w:rPr>
          <w:rFonts w:cs="Times New Roman" w:ascii="Times New Roman" w:hAnsi="Times New Roman"/>
          <w:sz w:val="24"/>
          <w:szCs w:val="24"/>
        </w:rPr>
        <w:t>representa mais de 97% da produção siderúrgica brasileira</w:t>
      </w:r>
      <w:bookmarkEnd w:id="28"/>
      <w:r>
        <w:rPr>
          <w:rFonts w:cs="Times New Roman" w:ascii="Times New Roman" w:hAnsi="Times New Roman"/>
          <w:sz w:val="24"/>
          <w:szCs w:val="24"/>
        </w:rPr>
        <w:t xml:space="preserve">. </w:t>
      </w:r>
    </w:p>
    <w:p>
      <w:pPr>
        <w:pStyle w:val="Normal"/>
        <w:spacing w:lineRule="auto" w:line="360" w:before="0" w:after="0"/>
        <w:ind w:right="-1"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284" w:right="567" w:hanging="0"/>
        <w:jc w:val="both"/>
        <w:rPr>
          <w:rFonts w:ascii="Times New Roman" w:hAnsi="Times New Roman" w:cs="Times New Roman"/>
          <w:bCs/>
          <w:sz w:val="24"/>
          <w:szCs w:val="24"/>
        </w:rPr>
      </w:pPr>
      <w:r>
        <w:rPr>
          <w:rFonts w:cs="Times New Roman" w:ascii="Times New Roman" w:hAnsi="Times New Roman"/>
          <w:bCs/>
          <w:sz w:val="24"/>
          <w:szCs w:val="24"/>
        </w:rPr>
        <w:t>Figura 2 - Síntese da Produção Siderúrgica Brasileira.</w:t>
      </w:r>
    </w:p>
    <w:p>
      <w:pPr>
        <w:pStyle w:val="Normal"/>
        <w:spacing w:lineRule="auto" w:line="360" w:before="0" w:after="0"/>
        <w:ind w:right="-1" w:hanging="0"/>
        <w:jc w:val="center"/>
        <w:rPr>
          <w:rFonts w:ascii="Times New Roman" w:hAnsi="Times New Roman" w:cs="Times New Roman"/>
          <w:sz w:val="24"/>
          <w:szCs w:val="24"/>
        </w:rPr>
      </w:pPr>
      <w:r>
        <w:rPr/>
        <w:drawing>
          <wp:inline distT="0" distB="0" distL="0" distR="6350">
            <wp:extent cx="5289550" cy="2400300"/>
            <wp:effectExtent l="0" t="0" r="0" b="0"/>
            <wp:docPr id="10" name="Imagem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47" descr=""/>
                    <pic:cNvPicPr>
                      <a:picLocks noChangeAspect="1" noChangeArrowheads="1"/>
                    </pic:cNvPicPr>
                  </pic:nvPicPr>
                  <pic:blipFill>
                    <a:blip r:embed="rId6"/>
                    <a:srcRect l="1851" t="9055" r="1815" b="13213"/>
                    <a:stretch>
                      <a:fillRect/>
                    </a:stretch>
                  </pic:blipFill>
                  <pic:spPr bwMode="auto">
                    <a:xfrm>
                      <a:off x="0" y="0"/>
                      <a:ext cx="5289550" cy="2400300"/>
                    </a:xfrm>
                    <a:prstGeom prst="rect">
                      <a:avLst/>
                    </a:prstGeom>
                  </pic:spPr>
                </pic:pic>
              </a:graphicData>
            </a:graphic>
          </wp:inline>
        </w:drawing>
      </w:r>
    </w:p>
    <w:p>
      <w:pPr>
        <w:pStyle w:val="Normal"/>
        <w:spacing w:lineRule="auto" w:line="360" w:before="0" w:after="0"/>
        <w:ind w:right="-1" w:firstLine="284"/>
        <w:jc w:val="both"/>
        <w:rPr>
          <w:rFonts w:ascii="Times New Roman" w:hAnsi="Times New Roman" w:cs="Times New Roman"/>
          <w:sz w:val="20"/>
          <w:szCs w:val="24"/>
        </w:rPr>
      </w:pPr>
      <w:r>
        <w:rPr>
          <w:rFonts w:cs="Times New Roman" w:ascii="Times New Roman" w:hAnsi="Times New Roman"/>
          <w:sz w:val="20"/>
          <w:szCs w:val="24"/>
        </w:rPr>
        <w:t>Fonte: AÇO BRASIL (2023).</w:t>
      </w:r>
    </w:p>
    <w:p>
      <w:pPr>
        <w:pStyle w:val="Normal"/>
        <w:spacing w:lineRule="auto" w:line="360" w:before="0" w:after="0"/>
        <w:ind w:right="-1"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color w:val="000000"/>
          <w:sz w:val="24"/>
          <w:szCs w:val="23"/>
        </w:rPr>
      </w:pPr>
      <w:bookmarkStart w:id="29" w:name="_Hlk160777503"/>
      <w:r>
        <w:rPr>
          <w:rFonts w:cs="Times New Roman" w:ascii="Times New Roman" w:hAnsi="Times New Roman"/>
          <w:color w:val="000000"/>
          <w:sz w:val="24"/>
          <w:szCs w:val="23"/>
        </w:rPr>
        <w:t xml:space="preserve">No lingotamento contínuo do aço, a escolha do pó fluxante é decisiva para a lubrificação e controle de transferência de calor no molde. A composição, viscosidade, temperatura de solidificação e cristalinidade são tipicamente consideradas as propriedades mais importantes, pois elas determinam como o pó fluxante, que é adicionado à superfície superior do aço fundido, irá se fundir, infiltrando-se no espaço entre a pele de aço e o molde durante o lingotamento </w:t>
      </w:r>
      <w:bookmarkEnd w:id="29"/>
      <w:r>
        <w:rPr>
          <w:rFonts w:cs="Times New Roman" w:ascii="Times New Roman" w:hAnsi="Times New Roman"/>
          <w:color w:val="000000"/>
          <w:sz w:val="24"/>
          <w:szCs w:val="23"/>
        </w:rPr>
        <w:t>(</w:t>
      </w:r>
      <w:bookmarkStart w:id="30" w:name="_Hlk156985145"/>
      <w:r>
        <w:rPr>
          <w:rFonts w:cs="Times New Roman" w:ascii="Times New Roman" w:hAnsi="Times New Roman"/>
          <w:color w:val="000000"/>
          <w:sz w:val="24"/>
          <w:szCs w:val="23"/>
        </w:rPr>
        <w:t>Medeiros, 2</w:t>
      </w:r>
      <w:bookmarkEnd w:id="30"/>
      <w:r>
        <w:rPr>
          <w:rFonts w:cs="Times New Roman" w:ascii="Times New Roman" w:hAnsi="Times New Roman"/>
          <w:color w:val="000000"/>
          <w:sz w:val="24"/>
          <w:szCs w:val="23"/>
        </w:rPr>
        <w:t xml:space="preserve">019). </w:t>
      </w:r>
    </w:p>
    <w:p>
      <w:pPr>
        <w:pStyle w:val="Corpodetexto"/>
        <w:spacing w:lineRule="auto" w:line="360" w:before="0" w:after="0"/>
        <w:ind w:right="112" w:firstLine="1132"/>
        <w:jc w:val="both"/>
        <w:rPr>
          <w:rFonts w:ascii="Times New Roman" w:hAnsi="Times New Roman" w:cs="Times New Roman"/>
          <w:sz w:val="24"/>
          <w:szCs w:val="24"/>
        </w:rPr>
      </w:pPr>
      <w:r>
        <w:rPr>
          <w:rFonts w:cs="Times New Roman" w:ascii="Times New Roman" w:hAnsi="Times New Roman"/>
          <w:sz w:val="24"/>
        </w:rPr>
        <w:t>Atualmente os pós fluxantes comerciais, utilizados no processo de lingotamento</w:t>
      </w:r>
      <w:r>
        <w:rPr>
          <w:rFonts w:cs="Times New Roman" w:ascii="Times New Roman" w:hAnsi="Times New Roman"/>
          <w:spacing w:val="1"/>
          <w:sz w:val="24"/>
        </w:rPr>
        <w:t xml:space="preserve"> </w:t>
      </w:r>
      <w:r>
        <w:rPr>
          <w:rFonts w:cs="Times New Roman" w:ascii="Times New Roman" w:hAnsi="Times New Roman"/>
          <w:sz w:val="24"/>
        </w:rPr>
        <w:t>contínuo, possuem flúor na forma de fluoreto de cálcio CaF</w:t>
      </w:r>
      <w:r>
        <w:rPr>
          <w:rFonts w:cs="Times New Roman" w:ascii="Times New Roman" w:hAnsi="Times New Roman"/>
          <w:sz w:val="24"/>
          <w:vertAlign w:val="subscript"/>
        </w:rPr>
        <w:t>2</w:t>
      </w:r>
      <w:r>
        <w:rPr>
          <w:rFonts w:cs="Times New Roman" w:ascii="Times New Roman" w:hAnsi="Times New Roman"/>
          <w:sz w:val="24"/>
        </w:rPr>
        <w:t>. O flúor é responsável pela melhoria de diversas propriedades do pó fluxante porém</w:t>
      </w:r>
      <w:r>
        <w:rPr>
          <w:rFonts w:cs="Times New Roman" w:ascii="Times New Roman" w:hAnsi="Times New Roman"/>
          <w:sz w:val="24"/>
          <w:szCs w:val="24"/>
        </w:rPr>
        <w:t xml:space="preserve"> a adição de fluoretos produz alguns problemas.</w:t>
      </w:r>
    </w:p>
    <w:p>
      <w:pPr>
        <w:pStyle w:val="Normal"/>
        <w:spacing w:lineRule="auto" w:line="360" w:before="0" w:after="0"/>
        <w:ind w:firstLine="1134"/>
        <w:jc w:val="both"/>
        <w:rPr>
          <w:rFonts w:ascii="Times New Roman" w:hAnsi="Times New Roman" w:cs="Times New Roman"/>
          <w:spacing w:val="22"/>
          <w:sz w:val="24"/>
          <w:szCs w:val="24"/>
        </w:rPr>
      </w:pPr>
      <w:r>
        <w:rPr>
          <w:rFonts w:cs="Times New Roman" w:ascii="Times New Roman" w:hAnsi="Times New Roman"/>
          <w:sz w:val="24"/>
          <w:szCs w:val="24"/>
        </w:rPr>
        <w:t>Nos pós fluxantes, a fluorita (CaF</w:t>
      </w:r>
      <w:r>
        <w:rPr>
          <w:rFonts w:cs="Times New Roman" w:ascii="Times New Roman" w:hAnsi="Times New Roman"/>
          <w:sz w:val="18"/>
          <w:szCs w:val="18"/>
        </w:rPr>
        <w:t>2</w:t>
      </w:r>
      <w:r>
        <w:rPr>
          <w:rFonts w:cs="Times New Roman" w:ascii="Times New Roman" w:hAnsi="Times New Roman"/>
          <w:sz w:val="24"/>
          <w:szCs w:val="24"/>
        </w:rPr>
        <w:t>) reage com o dióxido de silício (SiO</w:t>
      </w:r>
      <w:r>
        <w:rPr>
          <w:rFonts w:cs="Times New Roman" w:ascii="Times New Roman" w:hAnsi="Times New Roman"/>
          <w:sz w:val="18"/>
          <w:szCs w:val="18"/>
        </w:rPr>
        <w:t>2</w:t>
      </w:r>
      <w:r>
        <w:rPr>
          <w:rFonts w:cs="Times New Roman" w:ascii="Times New Roman" w:hAnsi="Times New Roman"/>
          <w:sz w:val="24"/>
          <w:szCs w:val="18"/>
        </w:rPr>
        <w:t>)</w:t>
      </w:r>
      <w:r>
        <w:rPr>
          <w:rFonts w:cs="Times New Roman" w:ascii="Times New Roman" w:hAnsi="Times New Roman"/>
          <w:sz w:val="18"/>
          <w:szCs w:val="18"/>
        </w:rPr>
        <w:t xml:space="preserve"> </w:t>
      </w:r>
      <w:r>
        <w:rPr>
          <w:rFonts w:cs="Times New Roman" w:ascii="Times New Roman" w:hAnsi="Times New Roman"/>
          <w:sz w:val="24"/>
          <w:szCs w:val="24"/>
        </w:rPr>
        <w:t>para formar o t</w:t>
      </w:r>
      <w:r>
        <w:rPr>
          <w:rFonts w:cs="Times New Roman" w:ascii="Times New Roman" w:hAnsi="Times New Roman"/>
          <w:color w:val="040C28"/>
          <w:sz w:val="24"/>
          <w:szCs w:val="24"/>
        </w:rPr>
        <w:t>etrafluoreto de silício (</w:t>
      </w:r>
      <w:r>
        <w:rPr>
          <w:rFonts w:cs="Times New Roman" w:ascii="Times New Roman" w:hAnsi="Times New Roman"/>
          <w:sz w:val="24"/>
          <w:szCs w:val="24"/>
        </w:rPr>
        <w:t>SiF</w:t>
      </w:r>
      <w:r>
        <w:rPr>
          <w:rFonts w:cs="Times New Roman" w:ascii="Times New Roman" w:hAnsi="Times New Roman"/>
          <w:sz w:val="24"/>
          <w:szCs w:val="24"/>
          <w:vertAlign w:val="subscript"/>
        </w:rPr>
        <w:t>4</w:t>
      </w:r>
      <w:r>
        <w:rPr>
          <w:rFonts w:cs="Times New Roman" w:ascii="Times New Roman" w:hAnsi="Times New Roman"/>
          <w:sz w:val="24"/>
          <w:szCs w:val="24"/>
        </w:rPr>
        <w:t xml:space="preserve">), que apresenta baixo ponto de fusão e que tende a volatilizar nas temperaturas de operação. Essas emissões gasosas, poluem o ar do ambiente e representam um risco potencial para a saúde e segurança dos operadores da fábrica. Em contato com a água de resfriamento, geram ácido fluorídrico (HF) provocando </w:t>
      </w:r>
      <w:r>
        <w:rPr>
          <w:rFonts w:ascii="Times New Roman" w:hAnsi="Times New Roman"/>
          <w:sz w:val="24"/>
          <w:szCs w:val="24"/>
        </w:rPr>
        <w:t>problema para armazenamento e utilização de resíduos sólidos.</w:t>
      </w:r>
      <w:r>
        <w:rPr>
          <w:rFonts w:cs="Times New Roman" w:ascii="Times New Roman" w:hAnsi="Times New Roman"/>
          <w:sz w:val="24"/>
          <w:szCs w:val="24"/>
        </w:rPr>
        <w:t xml:space="preserve">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Em máquinas de lingotamento contínuo, o flúor pode se acumular na água de resfriamento secundário, levando a uma redução do valor de pH. Em tal meio, os componentes da planta e do equipamento são suscetíveis ao desgaste. O ácido fluorídrico, que é gerado durante o processo de vazamento contínuo do pó do molde, aumenta drasticamente a taxa de corrosão, especialmente na parte inferior, onde há uma alta quantidade de água que acelera o processo de corrosão (Klug et al., 2012).</w:t>
      </w:r>
    </w:p>
    <w:p>
      <w:pPr>
        <w:pStyle w:val="Default"/>
        <w:spacing w:lineRule="auto" w:line="360"/>
        <w:ind w:firstLine="1134"/>
        <w:jc w:val="both"/>
        <w:rPr>
          <w:color w:val="auto"/>
          <w:szCs w:val="21"/>
          <w:highlight w:val="white"/>
        </w:rPr>
      </w:pPr>
      <w:r>
        <w:rPr/>
        <w:t xml:space="preserve">A cristalização é um processo termicamente ativado que se refere a uma combinação de dois processos, a nucleação e o crescimento de cristais. </w:t>
      </w:r>
      <w:r>
        <w:rPr>
          <w:color w:val="auto"/>
          <w:szCs w:val="21"/>
          <w:shd w:fill="FFFFFF" w:val="clear"/>
        </w:rPr>
        <w:t>Nucleação é o primeiro passo na formação de qualquer nova fase termodinâmica ou uma nova estrutura através de automontagem ou de auto-organização.</w:t>
      </w:r>
    </w:p>
    <w:p>
      <w:pPr>
        <w:pStyle w:val="Normal"/>
        <w:spacing w:lineRule="auto" w:line="360" w:before="0" w:after="0"/>
        <w:ind w:firstLine="1134"/>
        <w:jc w:val="both"/>
        <w:rPr>
          <w:sz w:val="32"/>
        </w:rPr>
      </w:pPr>
      <w:r>
        <w:rPr>
          <w:rFonts w:cs="Times New Roman" w:ascii="Times New Roman" w:hAnsi="Times New Roman"/>
          <w:sz w:val="24"/>
          <w:szCs w:val="24"/>
        </w:rPr>
        <w:t>Existem duas barreiras para a formação de núcleos estáveis. A</w:t>
      </w:r>
      <w:r>
        <w:rPr>
          <w:rFonts w:ascii="Times New Roman" w:hAnsi="Times New Roman"/>
          <w:sz w:val="24"/>
          <w:szCs w:val="24"/>
        </w:rPr>
        <w:t xml:space="preserve"> barreira termodinâmica, que é a energia livre</w:t>
      </w:r>
      <w:r>
        <w:rPr>
          <w:rFonts w:cs="Times New Roman" w:ascii="Times New Roman" w:hAnsi="Times New Roman"/>
          <w:sz w:val="24"/>
          <w:szCs w:val="24"/>
        </w:rPr>
        <w:t xml:space="preserve"> necessária, por unidade de volume, para que o núcleo seja formado</w:t>
      </w:r>
      <w:r>
        <w:rPr>
          <w:rFonts w:ascii="Times New Roman" w:hAnsi="Times New Roman"/>
          <w:sz w:val="24"/>
          <w:szCs w:val="24"/>
        </w:rPr>
        <w:t xml:space="preserve"> e a barreira cinética, que é a energia de ativação necessária, para que a massa seja movida ou reorganizada no espaço (difusão), para permitir o crescimento de um cristal de um líquido desordenado</w:t>
      </w:r>
      <w:r>
        <w:rPr/>
        <w:t xml:space="preserve"> </w:t>
      </w:r>
      <w:r>
        <w:rPr>
          <w:rFonts w:cs="Times New Roman" w:ascii="Times New Roman" w:hAnsi="Times New Roman"/>
          <w:sz w:val="24"/>
          <w:szCs w:val="24"/>
        </w:rPr>
        <w:t>(Shelby, 2005).</w:t>
      </w:r>
    </w:p>
    <w:p>
      <w:pPr>
        <w:pStyle w:val="Corpodetexto"/>
        <w:spacing w:lineRule="auto" w:line="360" w:before="0" w:after="0"/>
        <w:ind w:right="112" w:firstLine="1132"/>
        <w:jc w:val="both"/>
        <w:rPr>
          <w:rFonts w:ascii="Times New Roman" w:hAnsi="Times New Roman" w:cs="Times New Roman"/>
          <w:sz w:val="24"/>
        </w:rPr>
      </w:pPr>
      <w:r>
        <w:rPr>
          <w:rFonts w:cs="Times New Roman" w:ascii="Times New Roman" w:hAnsi="Times New Roman"/>
          <w:sz w:val="24"/>
        </w:rPr>
        <w:t>Nos</w:t>
      </w:r>
      <w:r>
        <w:rPr>
          <w:rFonts w:cs="Times New Roman" w:ascii="Times New Roman" w:hAnsi="Times New Roman"/>
          <w:spacing w:val="1"/>
          <w:sz w:val="24"/>
        </w:rPr>
        <w:t xml:space="preserve"> </w:t>
      </w:r>
      <w:r>
        <w:rPr>
          <w:rFonts w:cs="Times New Roman" w:ascii="Times New Roman" w:hAnsi="Times New Roman"/>
          <w:sz w:val="24"/>
        </w:rPr>
        <w:t>últimos</w:t>
      </w:r>
      <w:r>
        <w:rPr>
          <w:rFonts w:cs="Times New Roman" w:ascii="Times New Roman" w:hAnsi="Times New Roman"/>
          <w:spacing w:val="1"/>
          <w:sz w:val="24"/>
        </w:rPr>
        <w:t xml:space="preserve"> </w:t>
      </w:r>
      <w:r>
        <w:rPr>
          <w:rFonts w:cs="Times New Roman" w:ascii="Times New Roman" w:hAnsi="Times New Roman"/>
          <w:sz w:val="24"/>
        </w:rPr>
        <w:t>anos</w:t>
      </w:r>
      <w:r>
        <w:rPr>
          <w:rFonts w:cs="Times New Roman" w:ascii="Times New Roman" w:hAnsi="Times New Roman"/>
          <w:spacing w:val="1"/>
          <w:sz w:val="24"/>
        </w:rPr>
        <w:t xml:space="preserve"> </w:t>
      </w:r>
      <w:r>
        <w:rPr>
          <w:rFonts w:cs="Times New Roman" w:ascii="Times New Roman" w:hAnsi="Times New Roman"/>
          <w:sz w:val="24"/>
        </w:rPr>
        <w:t>é</w:t>
      </w:r>
      <w:r>
        <w:rPr>
          <w:rFonts w:cs="Times New Roman" w:ascii="Times New Roman" w:hAnsi="Times New Roman"/>
          <w:spacing w:val="1"/>
          <w:sz w:val="24"/>
        </w:rPr>
        <w:t xml:space="preserve"> </w:t>
      </w:r>
      <w:r>
        <w:rPr>
          <w:rFonts w:cs="Times New Roman" w:ascii="Times New Roman" w:hAnsi="Times New Roman"/>
          <w:sz w:val="24"/>
        </w:rPr>
        <w:t>observada</w:t>
      </w:r>
      <w:r>
        <w:rPr>
          <w:rFonts w:cs="Times New Roman" w:ascii="Times New Roman" w:hAnsi="Times New Roman"/>
          <w:spacing w:val="1"/>
          <w:sz w:val="24"/>
        </w:rPr>
        <w:t xml:space="preserve"> </w:t>
      </w:r>
      <w:r>
        <w:rPr>
          <w:rFonts w:cs="Times New Roman" w:ascii="Times New Roman" w:hAnsi="Times New Roman"/>
          <w:sz w:val="24"/>
        </w:rPr>
        <w:t>uma</w:t>
      </w:r>
      <w:r>
        <w:rPr>
          <w:rFonts w:cs="Times New Roman" w:ascii="Times New Roman" w:hAnsi="Times New Roman"/>
          <w:spacing w:val="1"/>
          <w:sz w:val="24"/>
        </w:rPr>
        <w:t xml:space="preserve"> </w:t>
      </w:r>
      <w:r>
        <w:rPr>
          <w:rFonts w:cs="Times New Roman" w:ascii="Times New Roman" w:hAnsi="Times New Roman"/>
          <w:sz w:val="24"/>
        </w:rPr>
        <w:t>clara</w:t>
      </w:r>
      <w:r>
        <w:rPr>
          <w:rFonts w:cs="Times New Roman" w:ascii="Times New Roman" w:hAnsi="Times New Roman"/>
          <w:spacing w:val="1"/>
          <w:sz w:val="24"/>
        </w:rPr>
        <w:t xml:space="preserve"> </w:t>
      </w:r>
      <w:r>
        <w:rPr>
          <w:rFonts w:cs="Times New Roman" w:ascii="Times New Roman" w:hAnsi="Times New Roman"/>
          <w:sz w:val="24"/>
        </w:rPr>
        <w:t>tendência</w:t>
      </w:r>
      <w:r>
        <w:rPr>
          <w:rFonts w:cs="Times New Roman" w:ascii="Times New Roman" w:hAnsi="Times New Roman"/>
          <w:spacing w:val="1"/>
          <w:sz w:val="24"/>
        </w:rPr>
        <w:t xml:space="preserve"> </w:t>
      </w:r>
      <w:r>
        <w:rPr>
          <w:rFonts w:cs="Times New Roman" w:ascii="Times New Roman" w:hAnsi="Times New Roman"/>
          <w:sz w:val="24"/>
        </w:rPr>
        <w:t>na</w:t>
      </w:r>
      <w:r>
        <w:rPr>
          <w:rFonts w:cs="Times New Roman" w:ascii="Times New Roman" w:hAnsi="Times New Roman"/>
          <w:spacing w:val="1"/>
          <w:sz w:val="24"/>
        </w:rPr>
        <w:t xml:space="preserve"> </w:t>
      </w:r>
      <w:r>
        <w:rPr>
          <w:rFonts w:cs="Times New Roman" w:ascii="Times New Roman" w:hAnsi="Times New Roman"/>
          <w:sz w:val="24"/>
        </w:rPr>
        <w:t>indústria</w:t>
      </w:r>
      <w:r>
        <w:rPr>
          <w:rFonts w:cs="Times New Roman" w:ascii="Times New Roman" w:hAnsi="Times New Roman"/>
          <w:spacing w:val="1"/>
          <w:sz w:val="24"/>
        </w:rPr>
        <w:t xml:space="preserve"> </w:t>
      </w:r>
      <w:r>
        <w:rPr>
          <w:rFonts w:cs="Times New Roman" w:ascii="Times New Roman" w:hAnsi="Times New Roman"/>
          <w:sz w:val="24"/>
        </w:rPr>
        <w:t>em</w:t>
      </w:r>
      <w:r>
        <w:rPr>
          <w:rFonts w:cs="Times New Roman" w:ascii="Times New Roman" w:hAnsi="Times New Roman"/>
          <w:spacing w:val="1"/>
          <w:sz w:val="24"/>
        </w:rPr>
        <w:t xml:space="preserve"> </w:t>
      </w:r>
      <w:r>
        <w:rPr>
          <w:rFonts w:cs="Times New Roman" w:ascii="Times New Roman" w:hAnsi="Times New Roman"/>
          <w:sz w:val="24"/>
        </w:rPr>
        <w:t>encontrar</w:t>
      </w:r>
      <w:r>
        <w:rPr>
          <w:rFonts w:cs="Times New Roman" w:ascii="Times New Roman" w:hAnsi="Times New Roman"/>
          <w:spacing w:val="1"/>
          <w:sz w:val="24"/>
        </w:rPr>
        <w:t xml:space="preserve"> </w:t>
      </w:r>
      <w:r>
        <w:rPr>
          <w:rFonts w:cs="Times New Roman" w:ascii="Times New Roman" w:hAnsi="Times New Roman"/>
          <w:sz w:val="24"/>
        </w:rPr>
        <w:t>materiais</w:t>
      </w:r>
      <w:r>
        <w:rPr>
          <w:rFonts w:cs="Times New Roman" w:ascii="Times New Roman" w:hAnsi="Times New Roman"/>
          <w:spacing w:val="1"/>
          <w:sz w:val="24"/>
        </w:rPr>
        <w:t xml:space="preserve"> </w:t>
      </w:r>
      <w:r>
        <w:rPr>
          <w:rFonts w:cs="Times New Roman" w:ascii="Times New Roman" w:hAnsi="Times New Roman"/>
          <w:sz w:val="24"/>
        </w:rPr>
        <w:t>substitutos</w:t>
      </w:r>
      <w:r>
        <w:rPr>
          <w:rFonts w:cs="Times New Roman" w:ascii="Times New Roman" w:hAnsi="Times New Roman"/>
          <w:spacing w:val="21"/>
          <w:sz w:val="24"/>
        </w:rPr>
        <w:t xml:space="preserve"> </w:t>
      </w:r>
      <w:r>
        <w:rPr>
          <w:rFonts w:cs="Times New Roman" w:ascii="Times New Roman" w:hAnsi="Times New Roman"/>
          <w:sz w:val="24"/>
        </w:rPr>
        <w:t>do</w:t>
      </w:r>
      <w:r>
        <w:rPr>
          <w:rFonts w:cs="Times New Roman" w:ascii="Times New Roman" w:hAnsi="Times New Roman"/>
          <w:spacing w:val="22"/>
          <w:sz w:val="24"/>
        </w:rPr>
        <w:t xml:space="preserve"> </w:t>
      </w:r>
      <w:r>
        <w:rPr>
          <w:rFonts w:cs="Times New Roman" w:ascii="Times New Roman" w:hAnsi="Times New Roman"/>
          <w:sz w:val="24"/>
        </w:rPr>
        <w:t>flúor</w:t>
      </w:r>
      <w:r>
        <w:rPr>
          <w:rFonts w:cs="Times New Roman" w:ascii="Times New Roman" w:hAnsi="Times New Roman"/>
          <w:spacing w:val="22"/>
          <w:sz w:val="24"/>
        </w:rPr>
        <w:t xml:space="preserve"> </w:t>
      </w:r>
      <w:r>
        <w:rPr>
          <w:rFonts w:cs="Times New Roman" w:ascii="Times New Roman" w:hAnsi="Times New Roman"/>
          <w:sz w:val="24"/>
        </w:rPr>
        <w:t>nos</w:t>
      </w:r>
      <w:r>
        <w:rPr>
          <w:rFonts w:cs="Times New Roman" w:ascii="Times New Roman" w:hAnsi="Times New Roman"/>
          <w:spacing w:val="21"/>
          <w:sz w:val="24"/>
        </w:rPr>
        <w:t xml:space="preserve"> </w:t>
      </w:r>
      <w:r>
        <w:rPr>
          <w:rFonts w:cs="Times New Roman" w:ascii="Times New Roman" w:hAnsi="Times New Roman"/>
          <w:sz w:val="24"/>
        </w:rPr>
        <w:t>pós</w:t>
      </w:r>
      <w:r>
        <w:rPr>
          <w:rFonts w:cs="Times New Roman" w:ascii="Times New Roman" w:hAnsi="Times New Roman"/>
          <w:spacing w:val="21"/>
          <w:sz w:val="24"/>
        </w:rPr>
        <w:t xml:space="preserve"> </w:t>
      </w:r>
      <w:r>
        <w:rPr>
          <w:rFonts w:cs="Times New Roman" w:ascii="Times New Roman" w:hAnsi="Times New Roman"/>
          <w:sz w:val="24"/>
        </w:rPr>
        <w:t>fluxantes. Estudar a cinética de cristalização a partir da escória líquida industrial utilizada no lingotamento contínuo permite o uso de técnicas e conhecimento para monitoramento do pó fluxante durante o processo.</w:t>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r>
    </w:p>
    <w:p>
      <w:pPr>
        <w:pStyle w:val="Ttulo1"/>
        <w:keepNext w:val="false"/>
        <w:widowControl w:val="false"/>
        <w:tabs>
          <w:tab w:val="left" w:pos="1153" w:leader="none"/>
        </w:tabs>
        <w:spacing w:lineRule="auto" w:line="360" w:before="0" w:after="0"/>
        <w:jc w:val="both"/>
        <w:rPr>
          <w:rFonts w:cs="Times New Roman"/>
          <w:sz w:val="24"/>
          <w:szCs w:val="22"/>
        </w:rPr>
      </w:pPr>
      <w:r>
        <w:rPr>
          <w:rFonts w:cs="Times New Roman"/>
          <w:sz w:val="24"/>
          <w:szCs w:val="22"/>
        </w:rPr>
      </w:r>
    </w:p>
    <w:p>
      <w:pPr>
        <w:pStyle w:val="Ttulo1"/>
        <w:keepNext w:val="false"/>
        <w:widowControl w:val="false"/>
        <w:tabs>
          <w:tab w:val="left" w:pos="1153" w:leader="none"/>
        </w:tabs>
        <w:spacing w:lineRule="auto" w:line="360" w:before="0" w:after="0"/>
        <w:jc w:val="both"/>
        <w:rPr>
          <w:rFonts w:cs="Times New Roman"/>
          <w:sz w:val="24"/>
          <w:szCs w:val="22"/>
        </w:rPr>
      </w:pPr>
      <w:r>
        <w:rPr>
          <w:rFonts w:cs="Times New Roman"/>
          <w:sz w:val="24"/>
          <w:szCs w:val="22"/>
        </w:rPr>
      </w:r>
    </w:p>
    <w:p>
      <w:pPr>
        <w:pStyle w:val="Ttulo1"/>
        <w:keepNext w:val="false"/>
        <w:widowControl w:val="false"/>
        <w:tabs>
          <w:tab w:val="left" w:pos="1153" w:leader="none"/>
        </w:tabs>
        <w:spacing w:lineRule="auto" w:line="360" w:before="0" w:after="0"/>
        <w:jc w:val="both"/>
        <w:rPr>
          <w:rFonts w:cs="Times New Roman"/>
          <w:sz w:val="24"/>
          <w:szCs w:val="22"/>
        </w:rPr>
      </w:pPr>
      <w:r>
        <w:rPr>
          <w:rFonts w:cs="Times New Roman"/>
          <w:sz w:val="24"/>
          <w:szCs w:val="22"/>
        </w:rPr>
      </w:r>
    </w:p>
    <w:p>
      <w:pPr>
        <w:pStyle w:val="Ttulo1"/>
        <w:keepNext w:val="false"/>
        <w:widowControl w:val="false"/>
        <w:tabs>
          <w:tab w:val="left" w:pos="1153" w:leader="none"/>
        </w:tabs>
        <w:spacing w:lineRule="auto" w:line="360" w:before="0" w:after="0"/>
        <w:jc w:val="both"/>
        <w:rPr>
          <w:rFonts w:cs="Times New Roman"/>
          <w:sz w:val="24"/>
          <w:szCs w:val="22"/>
        </w:rPr>
      </w:pPr>
      <w:r>
        <w:rPr>
          <w:rFonts w:cs="Times New Roman"/>
          <w:sz w:val="24"/>
          <w:szCs w:val="22"/>
        </w:rPr>
      </w:r>
    </w:p>
    <w:p>
      <w:pPr>
        <w:pStyle w:val="Ttulo1"/>
        <w:keepNext w:val="false"/>
        <w:widowControl w:val="false"/>
        <w:tabs>
          <w:tab w:val="left" w:pos="1153" w:leader="none"/>
        </w:tabs>
        <w:spacing w:lineRule="auto" w:line="360" w:before="0" w:after="0"/>
        <w:jc w:val="both"/>
        <w:rPr>
          <w:rFonts w:cs="Times New Roman"/>
          <w:sz w:val="24"/>
          <w:szCs w:val="22"/>
        </w:rPr>
      </w:pPr>
      <w:r>
        <w:rPr>
          <w:rFonts w:cs="Times New Roman"/>
          <w:sz w:val="24"/>
          <w:szCs w:val="22"/>
        </w:rPr>
      </w:r>
    </w:p>
    <w:p>
      <w:pPr>
        <w:pStyle w:val="Ttulo1"/>
        <w:keepNext w:val="false"/>
        <w:widowControl w:val="false"/>
        <w:tabs>
          <w:tab w:val="left" w:pos="1153" w:leader="none"/>
        </w:tabs>
        <w:spacing w:lineRule="auto" w:line="360" w:before="0" w:after="0"/>
        <w:jc w:val="both"/>
        <w:rPr>
          <w:rFonts w:cs="Times New Roman"/>
          <w:sz w:val="24"/>
          <w:szCs w:val="22"/>
        </w:rPr>
      </w:pPr>
      <w:r>
        <w:rPr>
          <w:rFonts w:cs="Times New Roman"/>
          <w:sz w:val="24"/>
          <w:szCs w:val="22"/>
        </w:rPr>
      </w:r>
    </w:p>
    <w:p>
      <w:pPr>
        <w:pStyle w:val="Ttulo1"/>
        <w:keepNext w:val="false"/>
        <w:widowControl w:val="false"/>
        <w:tabs>
          <w:tab w:val="left" w:pos="1153" w:leader="none"/>
        </w:tabs>
        <w:spacing w:lineRule="auto" w:line="360" w:before="0" w:after="0"/>
        <w:jc w:val="both"/>
        <w:rPr>
          <w:rFonts w:cs="Times New Roman"/>
          <w:sz w:val="24"/>
          <w:szCs w:val="22"/>
        </w:rPr>
      </w:pPr>
      <w:r>
        <w:rPr>
          <w:rFonts w:cs="Times New Roman"/>
          <w:sz w:val="24"/>
          <w:szCs w:val="22"/>
        </w:rPr>
      </w:r>
    </w:p>
    <w:p>
      <w:pPr>
        <w:pStyle w:val="Ttulo1"/>
        <w:keepNext w:val="false"/>
        <w:widowControl w:val="false"/>
        <w:tabs>
          <w:tab w:val="left" w:pos="1153" w:leader="none"/>
        </w:tabs>
        <w:spacing w:lineRule="auto" w:line="360" w:before="0" w:after="0"/>
        <w:jc w:val="both"/>
        <w:rPr>
          <w:rFonts w:cs="Times New Roman"/>
          <w:sz w:val="24"/>
          <w:szCs w:val="22"/>
        </w:rPr>
      </w:pPr>
      <w:r>
        <w:rPr>
          <w:rFonts w:cs="Times New Roman"/>
          <w:sz w:val="24"/>
          <w:szCs w:val="22"/>
        </w:rPr>
      </w:r>
    </w:p>
    <w:p>
      <w:pPr>
        <w:pStyle w:val="Ttulo1"/>
        <w:keepNext w:val="false"/>
        <w:widowControl w:val="false"/>
        <w:tabs>
          <w:tab w:val="left" w:pos="1153" w:leader="none"/>
        </w:tabs>
        <w:spacing w:lineRule="auto" w:line="360" w:before="0" w:after="0"/>
        <w:jc w:val="both"/>
        <w:rPr>
          <w:rFonts w:cs="Times New Roman"/>
          <w:sz w:val="24"/>
          <w:szCs w:val="22"/>
        </w:rPr>
      </w:pPr>
      <w:r>
        <w:rPr>
          <w:rFonts w:cs="Times New Roman"/>
          <w:sz w:val="24"/>
          <w:szCs w:val="22"/>
        </w:rPr>
      </w:r>
    </w:p>
    <w:p>
      <w:pPr>
        <w:pStyle w:val="Ttulo1"/>
        <w:keepNext w:val="false"/>
        <w:widowControl w:val="false"/>
        <w:tabs>
          <w:tab w:val="left" w:pos="1153" w:leader="none"/>
        </w:tabs>
        <w:spacing w:lineRule="auto" w:line="360" w:before="0" w:after="0"/>
        <w:jc w:val="both"/>
        <w:rPr>
          <w:rFonts w:cs="Times New Roman"/>
          <w:sz w:val="24"/>
          <w:szCs w:val="22"/>
        </w:rPr>
      </w:pPr>
      <w:r>
        <w:rPr>
          <w:rFonts w:cs="Times New Roman"/>
          <w:sz w:val="24"/>
          <w:szCs w:val="22"/>
        </w:rPr>
      </w:r>
    </w:p>
    <w:p>
      <w:pPr>
        <w:pStyle w:val="Ttulo1"/>
        <w:keepNext w:val="false"/>
        <w:widowControl w:val="false"/>
        <w:tabs>
          <w:tab w:val="left" w:pos="1153" w:leader="none"/>
        </w:tabs>
        <w:spacing w:lineRule="auto" w:line="360" w:before="0" w:after="0"/>
        <w:jc w:val="both"/>
        <w:rPr>
          <w:rFonts w:cs="Times New Roman"/>
          <w:sz w:val="24"/>
          <w:szCs w:val="22"/>
        </w:rPr>
      </w:pPr>
      <w:r>
        <w:rPr>
          <w:rFonts w:cs="Times New Roman"/>
          <w:sz w:val="24"/>
          <w:szCs w:val="22"/>
        </w:rPr>
        <w:t>2 OBJETIVO</w:t>
      </w:r>
      <w:bookmarkStart w:id="31" w:name="_TOC_250036"/>
      <w:bookmarkEnd w:id="31"/>
    </w:p>
    <w:p>
      <w:pPr>
        <w:pStyle w:val="Ttulo1"/>
        <w:keepNext w:val="false"/>
        <w:widowControl w:val="false"/>
        <w:tabs>
          <w:tab w:val="left" w:pos="1153" w:leader="none"/>
        </w:tabs>
        <w:spacing w:lineRule="auto" w:line="360" w:before="0" w:after="0"/>
        <w:jc w:val="both"/>
        <w:rPr>
          <w:rFonts w:cs="Times New Roman"/>
          <w:b w:val="false"/>
          <w:b w:val="false"/>
          <w:sz w:val="24"/>
          <w:szCs w:val="22"/>
        </w:rPr>
      </w:pPr>
      <w:r>
        <w:rPr>
          <w:rFonts w:cs="Times New Roman"/>
          <w:b w:val="false"/>
          <w:sz w:val="24"/>
          <w:szCs w:val="22"/>
        </w:rPr>
      </w:r>
    </w:p>
    <w:p>
      <w:pPr>
        <w:pStyle w:val="Corpodetexto"/>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Estudar, através da dsc em condições isotérmicas, a cinética de cristalização, de um pó fluxante livre de flúor para possíveis aplicações no processo de lingotamento contínuo de placas de aços peritéticos.</w:t>
      </w:r>
    </w:p>
    <w:p>
      <w:pPr>
        <w:pStyle w:val="Corpodetexto"/>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2.1 Objetivos específicos</w:t>
      </w:r>
    </w:p>
    <w:p>
      <w:pPr>
        <w:pStyle w:val="Corpodetexto"/>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Produzir um pó fluxante </w:t>
      </w:r>
      <w:r>
        <w:rPr>
          <w:rFonts w:cs="Times New Roman" w:ascii="Times New Roman" w:hAnsi="Times New Roman"/>
          <w:color w:val="121412"/>
          <w:sz w:val="24"/>
          <w:szCs w:val="24"/>
        </w:rPr>
        <w:t xml:space="preserve">utilizando os reagentes </w:t>
      </w:r>
      <w:r>
        <w:rPr>
          <w:rFonts w:cs="Times New Roman" w:ascii="Times New Roman" w:hAnsi="Times New Roman"/>
          <w:sz w:val="24"/>
          <w:szCs w:val="24"/>
        </w:rPr>
        <w:t>CaO, SiO</w:t>
      </w:r>
      <w:r>
        <w:rPr>
          <w:rFonts w:cs="Times New Roman" w:ascii="Times New Roman" w:hAnsi="Times New Roman"/>
          <w:sz w:val="24"/>
          <w:szCs w:val="24"/>
          <w:vertAlign w:val="subscript"/>
        </w:rPr>
        <w:t>2</w:t>
      </w:r>
      <w:r>
        <w:rPr>
          <w:rFonts w:cs="Times New Roman" w:ascii="Times New Roman" w:hAnsi="Times New Roman"/>
          <w:sz w:val="24"/>
          <w:szCs w:val="24"/>
        </w:rPr>
        <w:t>, Al</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 xml:space="preserve"> </w:t>
      </w:r>
      <w:r>
        <w:rPr>
          <w:rFonts w:cs="Times New Roman" w:ascii="Times New Roman" w:hAnsi="Times New Roman"/>
          <w:sz w:val="24"/>
          <w:szCs w:val="24"/>
        </w:rPr>
        <w:t>Na</w:t>
      </w:r>
      <w:r>
        <w:rPr>
          <w:rFonts w:cs="Times New Roman" w:ascii="Times New Roman" w:hAnsi="Times New Roman"/>
          <w:sz w:val="24"/>
          <w:szCs w:val="24"/>
          <w:vertAlign w:val="subscript"/>
        </w:rPr>
        <w:t>2</w:t>
      </w:r>
      <w:r>
        <w:rPr>
          <w:rFonts w:cs="Times New Roman" w:ascii="Times New Roman" w:hAnsi="Times New Roman"/>
          <w:sz w:val="24"/>
          <w:szCs w:val="24"/>
        </w:rPr>
        <w:t>O, MgO, TiO</w:t>
      </w:r>
      <w:r>
        <w:rPr>
          <w:rFonts w:cs="Times New Roman" w:ascii="Times New Roman" w:hAnsi="Times New Roman"/>
          <w:sz w:val="24"/>
          <w:szCs w:val="24"/>
          <w:vertAlign w:val="subscript"/>
        </w:rPr>
        <w:t>2</w:t>
      </w:r>
      <w:r>
        <w:rPr>
          <w:rFonts w:cs="Times New Roman" w:ascii="Times New Roman" w:hAnsi="Times New Roman"/>
          <w:sz w:val="24"/>
          <w:szCs w:val="24"/>
        </w:rPr>
        <w:t>, Fe</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xml:space="preserve"> e Li</w:t>
      </w:r>
      <w:r>
        <w:rPr>
          <w:rFonts w:cs="Times New Roman" w:ascii="Times New Roman" w:hAnsi="Times New Roman"/>
          <w:sz w:val="24"/>
          <w:szCs w:val="24"/>
          <w:vertAlign w:val="subscript"/>
        </w:rPr>
        <w:t>2</w:t>
      </w:r>
      <w:r>
        <w:rPr>
          <w:rFonts w:cs="Times New Roman" w:ascii="Times New Roman" w:hAnsi="Times New Roman"/>
          <w:sz w:val="24"/>
          <w:szCs w:val="24"/>
        </w:rPr>
        <w:t>O sem flúor.</w:t>
      </w:r>
    </w:p>
    <w:p>
      <w:pPr>
        <w:pStyle w:val="Corpodetexto"/>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Calcular e comparar os parâmetros da cinética de cristalização de um pó fluxante sem flúor, com dois que apresentam flúor anteriormente estudados.</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Corpodetexto"/>
        <w:spacing w:lineRule="auto" w:line="360" w:before="0" w:after="0"/>
        <w:jc w:val="both"/>
        <w:rPr>
          <w:rFonts w:ascii="Times New Roman" w:hAnsi="Times New Roman" w:cs="Times New Roman"/>
          <w:b/>
          <w:b/>
          <w:sz w:val="24"/>
        </w:rPr>
      </w:pPr>
      <w:r>
        <w:rPr>
          <w:rFonts w:cs="Times New Roman" w:ascii="Times New Roman" w:hAnsi="Times New Roman"/>
          <w:b/>
          <w:sz w:val="24"/>
        </w:rPr>
        <w:t>3 REVISÃO BIBLIOGRÁFICA</w:t>
      </w:r>
      <w:bookmarkStart w:id="32" w:name="_Hlk156986982"/>
      <w:bookmarkEnd w:id="32"/>
    </w:p>
    <w:p>
      <w:pPr>
        <w:pStyle w:val="Normal"/>
        <w:spacing w:lineRule="auto" w:line="360" w:before="0" w:after="0"/>
        <w:ind w:right="-1"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360" w:before="0" w:after="0"/>
        <w:jc w:val="both"/>
        <w:rPr>
          <w:rFonts w:ascii="Times New Roman" w:hAnsi="Times New Roman" w:cs="Times New Roman"/>
          <w:b/>
          <w:b/>
          <w:sz w:val="24"/>
        </w:rPr>
      </w:pPr>
      <w:r>
        <w:rPr>
          <w:rFonts w:cs="Times New Roman" w:ascii="Times New Roman" w:hAnsi="Times New Roman"/>
          <w:b/>
          <w:sz w:val="24"/>
        </w:rPr>
        <w:t>3.1 Lingotamento contínuo</w:t>
      </w:r>
    </w:p>
    <w:p>
      <w:pPr>
        <w:pStyle w:val="Normal"/>
        <w:shd w:val="clear" w:color="auto" w:fill="FFFFFF"/>
        <w:spacing w:lineRule="auto" w:line="360" w:before="0" w:after="0"/>
        <w:jc w:val="both"/>
        <w:rPr>
          <w:rFonts w:ascii="Times New Roman" w:hAnsi="Times New Roman" w:cs="Times New Roman"/>
          <w:sz w:val="24"/>
        </w:rPr>
      </w:pPr>
      <w:r>
        <w:rPr>
          <w:rFonts w:cs="Times New Roman" w:ascii="Times New Roman" w:hAnsi="Times New Roman"/>
          <w:sz w:val="24"/>
        </w:rPr>
      </w:r>
    </w:p>
    <w:p>
      <w:pPr>
        <w:pStyle w:val="Normal"/>
        <w:shd w:val="clear" w:color="auto" w:fill="FFFFFF"/>
        <w:spacing w:lineRule="auto" w:line="360" w:before="0" w:after="0"/>
        <w:ind w:firstLine="1134"/>
        <w:jc w:val="both"/>
        <w:rPr>
          <w:rFonts w:ascii="Times New Roman" w:hAnsi="Times New Roman" w:cs="Times New Roman"/>
          <w:sz w:val="24"/>
        </w:rPr>
      </w:pPr>
      <w:r>
        <w:rPr>
          <w:rFonts w:cs="Times New Roman" w:ascii="Times New Roman" w:hAnsi="Times New Roman"/>
          <w:sz w:val="24"/>
        </w:rPr>
        <w:t>A função do lingotamento contínuo é transformar o aço líquido em produtos, com formas e comprimentos definidos, que permitem posteriores transformações a serem executadas nas etapas de fabricação de produtos siderúrgicos.</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Antes do processo de lingotamento contínuo, o aço era vazado em moldes para formar lingotes (lingotamento convencional), conforme ilustra a figura 3.</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1134" w:right="1276" w:hanging="0"/>
        <w:jc w:val="both"/>
        <w:rPr>
          <w:rFonts w:ascii="Times New Roman" w:hAnsi="Times New Roman" w:cs="Times New Roman"/>
          <w:sz w:val="24"/>
          <w:szCs w:val="24"/>
        </w:rPr>
      </w:pPr>
      <w:r>
        <w:rPr>
          <w:rFonts w:cs="Times New Roman" w:ascii="Times New Roman" w:hAnsi="Times New Roman"/>
          <w:sz w:val="24"/>
          <w:szCs w:val="24"/>
        </w:rPr>
        <w:t>Figura 3 - Representação esquemática das formas de vazamento nos processos de lingotamento convencional dos aços.</w:t>
      </w:r>
    </w:p>
    <w:p>
      <w:pPr>
        <w:pStyle w:val="Normal"/>
        <w:spacing w:lineRule="auto" w:line="360" w:before="0" w:after="0"/>
        <w:ind w:left="1134" w:hanging="0"/>
        <w:jc w:val="both"/>
        <w:rPr>
          <w:rFonts w:ascii="Times New Roman" w:hAnsi="Times New Roman" w:cs="Times New Roman"/>
          <w:sz w:val="24"/>
          <w:szCs w:val="24"/>
        </w:rPr>
      </w:pPr>
      <w:r>
        <w:rPr/>
        <w:drawing>
          <wp:inline distT="0" distB="6350" distL="0" distR="9525">
            <wp:extent cx="3971925" cy="2622550"/>
            <wp:effectExtent l="0" t="0" r="0" b="0"/>
            <wp:docPr id="11" name="Imagem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41" descr=""/>
                    <pic:cNvPicPr>
                      <a:picLocks noChangeAspect="1" noChangeArrowheads="1"/>
                    </pic:cNvPicPr>
                  </pic:nvPicPr>
                  <pic:blipFill>
                    <a:blip r:embed="rId7"/>
                    <a:srcRect l="18388" t="20615" r="24027" b="7278"/>
                    <a:stretch>
                      <a:fillRect/>
                    </a:stretch>
                  </pic:blipFill>
                  <pic:spPr bwMode="auto">
                    <a:xfrm>
                      <a:off x="0" y="0"/>
                      <a:ext cx="3971925" cy="2622550"/>
                    </a:xfrm>
                    <a:prstGeom prst="rect">
                      <a:avLst/>
                    </a:prstGeom>
                  </pic:spPr>
                </pic:pic>
              </a:graphicData>
            </a:graphic>
          </wp:inline>
        </w:drawing>
      </w:r>
    </w:p>
    <w:p>
      <w:pPr>
        <w:pStyle w:val="Normal"/>
        <w:shd w:val="clear" w:color="auto" w:fill="FFFFFF"/>
        <w:spacing w:lineRule="auto" w:line="360" w:before="0" w:after="0"/>
        <w:ind w:left="1134" w:hanging="0"/>
        <w:jc w:val="both"/>
        <w:rPr>
          <w:rFonts w:ascii="Times New Roman" w:hAnsi="Times New Roman" w:cs="Times New Roman"/>
          <w:sz w:val="20"/>
          <w:szCs w:val="24"/>
        </w:rPr>
      </w:pPr>
      <w:r>
        <w:rPr>
          <w:rFonts w:cs="Times New Roman" w:ascii="Times New Roman" w:hAnsi="Times New Roman"/>
          <w:sz w:val="20"/>
          <w:szCs w:val="24"/>
        </w:rPr>
        <w:t>Fonte: RIZZO (2005).</w:t>
      </w:r>
    </w:p>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4"/>
        </w:rPr>
        <w:t>Por consequência da alta temperatura de fusão e a reduzida condutibilidade térmica, o processo contínuo de lingotamento do aço ainda era um desafio. Durante vários anos, um grande número de pesquisadores dedicou-se a desenvolver técnicas de lingotamento. No período de 1930 até 1940, Singfried Jungnhans, na Alemanha, conseguiu lingotar continuamente o latão, depois o alumínio e finalmente o próprio aço (</w:t>
      </w:r>
      <w:bookmarkStart w:id="33" w:name="_Hlk156985190"/>
      <w:r>
        <w:rPr>
          <w:rFonts w:cs="Times New Roman" w:ascii="Times New Roman" w:hAnsi="Times New Roman"/>
          <w:sz w:val="24"/>
        </w:rPr>
        <w:t>Rizzo, 2006).</w:t>
      </w:r>
      <w:bookmarkEnd w:id="33"/>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O lingotamento contínuo consiste no vazamento do aço líquido em um pequeno molde vertical de cobre refrigerado e na extração simultânea da casca solidificada que contém aço líquido em seu interior produzindo bloco, tarugo, pré-forma e placa conforme ilustra a figura 4.</w:t>
      </w:r>
    </w:p>
    <w:p>
      <w:pPr>
        <w:pStyle w:val="Ttulo1"/>
        <w:shd w:val="clear" w:color="auto" w:fill="FFFFFF"/>
        <w:tabs>
          <w:tab w:val="left" w:pos="5670" w:leader="none"/>
        </w:tabs>
        <w:spacing w:lineRule="auto" w:line="360" w:before="0" w:after="0"/>
        <w:ind w:left="1276" w:right="1134" w:hanging="0"/>
        <w:jc w:val="both"/>
        <w:rPr>
          <w:rFonts w:eastAsia="Calibri" w:cs="Times New Roman" w:eastAsiaTheme="minorHAnsi"/>
          <w:b w:val="false"/>
          <w:b w:val="false"/>
          <w:bCs w:val="false"/>
          <w:sz w:val="24"/>
          <w:szCs w:val="24"/>
        </w:rPr>
      </w:pPr>
      <w:r>
        <w:rPr>
          <w:rFonts w:eastAsia="Calibri" w:cs="Times New Roman" w:eastAsiaTheme="minorHAnsi"/>
          <w:b w:val="false"/>
          <w:bCs w:val="false"/>
          <w:sz w:val="24"/>
          <w:szCs w:val="24"/>
        </w:rPr>
        <w:t>Figura 4 - Detalhe de um equipamento de lingotamento contínuo.</w:t>
      </w:r>
    </w:p>
    <w:p>
      <w:pPr>
        <w:pStyle w:val="Ttulo1"/>
        <w:shd w:val="clear" w:color="auto" w:fill="FFFFFF"/>
        <w:spacing w:lineRule="auto" w:line="360" w:before="0" w:after="0"/>
        <w:jc w:val="center"/>
        <w:rPr>
          <w:rFonts w:eastAsia="Calibri" w:cs="Times New Roman" w:eastAsiaTheme="minorHAnsi"/>
          <w:b w:val="false"/>
          <w:b w:val="false"/>
          <w:bCs w:val="false"/>
          <w:sz w:val="24"/>
          <w:szCs w:val="24"/>
        </w:rPr>
      </w:pPr>
      <w:r>
        <w:rPr/>
        <w:drawing>
          <wp:inline distT="0" distB="9525" distL="0" distR="9525">
            <wp:extent cx="3933825" cy="4048125"/>
            <wp:effectExtent l="0" t="0" r="0" b="0"/>
            <wp:docPr id="12" name="Imagem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48" descr=""/>
                    <pic:cNvPicPr>
                      <a:picLocks noChangeAspect="1" noChangeArrowheads="1"/>
                    </pic:cNvPicPr>
                  </pic:nvPicPr>
                  <pic:blipFill>
                    <a:blip r:embed="rId8"/>
                    <a:srcRect l="26716" t="5772" r="31229" b="10383"/>
                    <a:stretch>
                      <a:fillRect/>
                    </a:stretch>
                  </pic:blipFill>
                  <pic:spPr bwMode="auto">
                    <a:xfrm>
                      <a:off x="0" y="0"/>
                      <a:ext cx="3933825" cy="4048125"/>
                    </a:xfrm>
                    <a:prstGeom prst="rect">
                      <a:avLst/>
                    </a:prstGeom>
                  </pic:spPr>
                </pic:pic>
              </a:graphicData>
            </a:graphic>
          </wp:inline>
        </w:drawing>
      </w:r>
    </w:p>
    <w:p>
      <w:pPr>
        <w:pStyle w:val="Normal"/>
        <w:shd w:val="clear" w:color="auto" w:fill="FFFFFF"/>
        <w:spacing w:lineRule="auto" w:line="360" w:before="0" w:after="0"/>
        <w:ind w:left="1276" w:right="1276" w:hanging="0"/>
        <w:jc w:val="both"/>
        <w:rPr>
          <w:rFonts w:ascii="Times New Roman" w:hAnsi="Times New Roman" w:cs="Times New Roman"/>
          <w:sz w:val="20"/>
          <w:szCs w:val="24"/>
        </w:rPr>
      </w:pPr>
      <w:r>
        <w:rPr>
          <w:rFonts w:cs="Times New Roman" w:ascii="Times New Roman" w:hAnsi="Times New Roman"/>
          <w:sz w:val="20"/>
          <w:szCs w:val="24"/>
        </w:rPr>
        <w:t>Fonte: RIZZO (2005, com adaptação).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O molde é feito de cobre-metal de alta condutividade térmica refrigerado com água e oscila verticalmente para evitar adesão da casca solidificada ao molde.</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O tarugo é suportado por vários rolos guia em seu movimento de descida para evitar que a pressão interna do aço líquido (pressão ferrostática) dobre a casca.</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Dependendo da seção transversal da placa ou do tarugo e da velocidade de lingotamento, a zona de resfriamento secundário (chuveiros spray) pode ter de10 a 40 metros de extensão.</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Ao passar pelo último rolo de sustentação o tarugo entra em uma mesa de saída e é cortado, ainda em movimento, por tochas oxi-acetilênicas.</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 resultado do processo são produtos semiacabados, conforme ilustrados nas figuras 5 e 6, de modo que posteriormente possam ser trabalhados em estado sólido, </w:t>
      </w:r>
      <w:r>
        <w:rPr>
          <w:rFonts w:cs="Times New Roman" w:ascii="Times New Roman" w:hAnsi="Times New Roman"/>
          <w:bCs/>
          <w:sz w:val="24"/>
          <w:szCs w:val="24"/>
        </w:rPr>
        <w:t>por equipamentos chamados laminadores, e transformados em uma grande variedade de produtos siderúrgicos, cuja nomenclatura depende de sua forma e/ou composição química.</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709" w:hanging="0"/>
        <w:jc w:val="both"/>
        <w:rPr>
          <w:rFonts w:ascii="Times New Roman" w:hAnsi="Times New Roman" w:cs="Times New Roman"/>
          <w:sz w:val="24"/>
          <w:szCs w:val="24"/>
        </w:rPr>
      </w:pPr>
      <w:r>
        <w:rPr>
          <w:rFonts w:cs="Times New Roman" w:ascii="Times New Roman" w:hAnsi="Times New Roman"/>
          <w:sz w:val="24"/>
          <w:szCs w:val="24"/>
        </w:rPr>
        <w:t>Figura 5 - Produtos comuns do processo de lingotamento contínuo de aços.</w:t>
      </w:r>
    </w:p>
    <w:p>
      <w:pPr>
        <w:pStyle w:val="Normal"/>
        <w:spacing w:lineRule="auto" w:line="360" w:before="0" w:after="0"/>
        <w:jc w:val="center"/>
        <w:rPr>
          <w:rFonts w:ascii="Times New Roman" w:hAnsi="Times New Roman" w:cs="Times New Roman"/>
          <w:sz w:val="24"/>
          <w:szCs w:val="24"/>
        </w:rPr>
      </w:pPr>
      <w:r>
        <w:rPr/>
        <w:drawing>
          <wp:inline distT="0" distB="0" distL="0" distR="0">
            <wp:extent cx="4575810" cy="2523490"/>
            <wp:effectExtent l="0" t="0" r="0" b="0"/>
            <wp:docPr id="13" name="Imagem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9" descr=""/>
                    <pic:cNvPicPr>
                      <a:picLocks noChangeAspect="1" noChangeArrowheads="1"/>
                    </pic:cNvPicPr>
                  </pic:nvPicPr>
                  <pic:blipFill>
                    <a:blip r:embed="rId9"/>
                    <a:srcRect l="22314" t="26046" r="25433" b="17189"/>
                    <a:stretch>
                      <a:fillRect/>
                    </a:stretch>
                  </pic:blipFill>
                  <pic:spPr bwMode="auto">
                    <a:xfrm>
                      <a:off x="0" y="0"/>
                      <a:ext cx="4575810" cy="2523490"/>
                    </a:xfrm>
                    <a:prstGeom prst="rect">
                      <a:avLst/>
                    </a:prstGeom>
                  </pic:spPr>
                </pic:pic>
              </a:graphicData>
            </a:graphic>
          </wp:inline>
        </w:drawing>
      </w:r>
    </w:p>
    <w:p>
      <w:pPr>
        <w:pStyle w:val="Normal"/>
        <w:shd w:val="clear" w:color="auto" w:fill="FFFFFF"/>
        <w:spacing w:lineRule="auto" w:line="360" w:before="0" w:after="0"/>
        <w:ind w:left="709" w:hanging="0"/>
        <w:jc w:val="both"/>
        <w:rPr>
          <w:rFonts w:ascii="Times New Roman" w:hAnsi="Times New Roman" w:cs="Times New Roman"/>
          <w:sz w:val="20"/>
          <w:szCs w:val="24"/>
        </w:rPr>
      </w:pPr>
      <w:r>
        <w:rPr>
          <w:rFonts w:cs="Times New Roman" w:ascii="Times New Roman" w:hAnsi="Times New Roman"/>
          <w:sz w:val="20"/>
          <w:szCs w:val="24"/>
        </w:rPr>
        <w:t>Fonte: RIZZO (2005).</w:t>
      </w:r>
    </w:p>
    <w:p>
      <w:pPr>
        <w:pStyle w:val="Normal"/>
        <w:shd w:val="clear" w:color="auto" w:fill="FFFFFF"/>
        <w:spacing w:lineRule="auto" w:line="360" w:before="0" w:after="0"/>
        <w:jc w:val="center"/>
        <w:rPr>
          <w:rFonts w:ascii="Times New Roman" w:hAnsi="Times New Roman" w:cs="Times New Roman"/>
          <w:sz w:val="20"/>
          <w:szCs w:val="24"/>
        </w:rPr>
      </w:pPr>
      <w:r>
        <w:rPr>
          <w:rFonts w:cs="Times New Roman" w:ascii="Times New Roman" w:hAnsi="Times New Roman"/>
          <w:sz w:val="20"/>
          <w:szCs w:val="24"/>
        </w:rPr>
      </w:r>
    </w:p>
    <w:p>
      <w:pPr>
        <w:pStyle w:val="Normal"/>
        <w:shd w:val="clear" w:color="auto" w:fill="FFFFFF"/>
        <w:spacing w:lineRule="auto" w:line="360" w:before="0" w:after="0"/>
        <w:ind w:left="709" w:hanging="0"/>
        <w:jc w:val="both"/>
        <w:rPr>
          <w:rFonts w:ascii="Times New Roman" w:hAnsi="Times New Roman" w:cs="Times New Roman"/>
          <w:sz w:val="24"/>
          <w:szCs w:val="24"/>
        </w:rPr>
      </w:pPr>
      <w:r>
        <w:rPr>
          <w:rFonts w:cs="Times New Roman" w:ascii="Times New Roman" w:hAnsi="Times New Roman"/>
          <w:sz w:val="24"/>
          <w:szCs w:val="24"/>
        </w:rPr>
        <w:t>Figura 6 - Placa de aço produzida por lingotamento contínuo.</w:t>
      </w:r>
    </w:p>
    <w:p>
      <w:pPr>
        <w:pStyle w:val="Normal"/>
        <w:shd w:val="clear" w:color="auto" w:fill="FFFFFF"/>
        <w:spacing w:lineRule="auto" w:line="360" w:before="0" w:after="0"/>
        <w:jc w:val="center"/>
        <w:rPr>
          <w:rFonts w:ascii="Times New Roman" w:hAnsi="Times New Roman" w:cs="Times New Roman"/>
          <w:sz w:val="20"/>
          <w:szCs w:val="24"/>
        </w:rPr>
      </w:pPr>
      <w:r>
        <w:rPr/>
        <w:drawing>
          <wp:inline distT="0" distB="6350" distL="0" distR="0">
            <wp:extent cx="4557395" cy="2699385"/>
            <wp:effectExtent l="0" t="0" r="0" b="0"/>
            <wp:docPr id="14" name="Imagem 4" descr="https://www.primetals.com/fileadmin/_processed_/9/b/csm_2019091931_small_d38473b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 descr="https://www.primetals.com/fileadmin/_processed_/9/b/csm_2019091931_small_d38473b8cb.jpg"/>
                    <pic:cNvPicPr>
                      <a:picLocks noChangeAspect="1" noChangeArrowheads="1"/>
                    </pic:cNvPicPr>
                  </pic:nvPicPr>
                  <pic:blipFill>
                    <a:blip r:embed="rId10"/>
                    <a:srcRect l="0" t="0" r="0" b="7784"/>
                    <a:stretch>
                      <a:fillRect/>
                    </a:stretch>
                  </pic:blipFill>
                  <pic:spPr bwMode="auto">
                    <a:xfrm>
                      <a:off x="0" y="0"/>
                      <a:ext cx="4557395" cy="2699385"/>
                    </a:xfrm>
                    <a:prstGeom prst="rect">
                      <a:avLst/>
                    </a:prstGeom>
                  </pic:spPr>
                </pic:pic>
              </a:graphicData>
            </a:graphic>
          </wp:inline>
        </w:drawing>
      </w:r>
    </w:p>
    <w:p>
      <w:pPr>
        <w:pStyle w:val="Normal"/>
        <w:shd w:val="clear" w:color="auto" w:fill="FFFFFF"/>
        <w:spacing w:lineRule="auto" w:line="360" w:before="0" w:after="0"/>
        <w:ind w:left="709" w:hanging="0"/>
        <w:jc w:val="both"/>
        <w:rPr>
          <w:rFonts w:ascii="Times New Roman" w:hAnsi="Times New Roman" w:cs="Times New Roman"/>
          <w:sz w:val="20"/>
          <w:szCs w:val="24"/>
        </w:rPr>
      </w:pPr>
      <w:r>
        <w:rPr>
          <w:rFonts w:cs="Times New Roman" w:ascii="Times New Roman" w:hAnsi="Times New Roman"/>
          <w:sz w:val="20"/>
          <w:szCs w:val="24"/>
        </w:rPr>
        <w:t xml:space="preserve">Fonte: </w:t>
      </w:r>
      <w:bookmarkStart w:id="34" w:name="_Hlk156985213"/>
      <w:r>
        <w:rPr>
          <w:rFonts w:cs="Times New Roman" w:ascii="Times New Roman" w:hAnsi="Times New Roman"/>
          <w:sz w:val="20"/>
          <w:szCs w:val="24"/>
        </w:rPr>
        <w:t>PRIMETALS (2019</w:t>
      </w:r>
      <w:bookmarkEnd w:id="34"/>
      <w:r>
        <w:rPr>
          <w:rFonts w:cs="Times New Roman" w:ascii="Times New Roman" w:hAnsi="Times New Roman"/>
          <w:sz w:val="20"/>
          <w:szCs w:val="24"/>
        </w:rPr>
        <w:t>).</w:t>
      </w:r>
    </w:p>
    <w:p>
      <w:pPr>
        <w:pStyle w:val="Normal"/>
        <w:shd w:val="clear" w:color="auto" w:fill="FFFFFF"/>
        <w:spacing w:lineRule="auto" w:line="360" w:before="0" w:after="0"/>
        <w:ind w:firstLine="1134"/>
        <w:jc w:val="both"/>
        <w:rPr>
          <w:rFonts w:ascii="Times New Roman" w:hAnsi="Times New Roman" w:cs="Times New Roman"/>
          <w:sz w:val="24"/>
        </w:rPr>
      </w:pPr>
      <w:r>
        <w:rPr>
          <w:rFonts w:cs="Times New Roman" w:ascii="Times New Roman" w:hAnsi="Times New Roman"/>
          <w:sz w:val="24"/>
        </w:rPr>
      </w:r>
    </w:p>
    <w:p>
      <w:pPr>
        <w:pStyle w:val="Normal"/>
        <w:shd w:val="clear" w:color="auto" w:fill="FFFFFF"/>
        <w:spacing w:lineRule="auto" w:line="360" w:before="0" w:after="0"/>
        <w:ind w:firstLine="1134"/>
        <w:jc w:val="both"/>
        <w:rPr>
          <w:rFonts w:ascii="Times New Roman" w:hAnsi="Times New Roman" w:cs="Times New Roman"/>
          <w:sz w:val="24"/>
        </w:rPr>
      </w:pPr>
      <w:r>
        <w:rPr>
          <w:rFonts w:cs="Times New Roman" w:ascii="Times New Roman" w:hAnsi="Times New Roman"/>
          <w:sz w:val="24"/>
        </w:rPr>
        <w:t>Através do lingotamento contínuo tem-se: redução do tempo e de etapas de lingotamento, economia de energia, ganho de rendimento (chegando ser superior a 98%) e melhor qualidade do produto (</w:t>
      </w:r>
      <w:bookmarkStart w:id="35" w:name="_Hlk156986949"/>
      <w:r>
        <w:rPr>
          <w:rFonts w:cs="Times New Roman" w:ascii="Times New Roman" w:hAnsi="Times New Roman"/>
          <w:sz w:val="24"/>
        </w:rPr>
        <w:t>Garcia et al., 2006</w:t>
      </w:r>
      <w:bookmarkEnd w:id="35"/>
      <w:r>
        <w:rPr>
          <w:rFonts w:cs="Times New Roman" w:ascii="Times New Roman" w:hAnsi="Times New Roman"/>
          <w:sz w:val="24"/>
        </w:rPr>
        <w:t>).</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b/>
          <w:b/>
          <w:sz w:val="24"/>
          <w:szCs w:val="24"/>
        </w:rPr>
      </w:pPr>
      <w:r>
        <w:rPr>
          <w:rFonts w:ascii="Times New Roman" w:hAnsi="Times New Roman"/>
          <w:b/>
          <w:sz w:val="24"/>
          <w:szCs w:val="24"/>
        </w:rPr>
        <w:t>3.2 Aços peritéticos</w:t>
      </w:r>
      <w:bookmarkStart w:id="36" w:name="_Hlk156917998"/>
      <w:bookmarkEnd w:id="36"/>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A reação peritética, de maneira geral, é uma reação na qual um líquido mais uma fase sólida primária se transformam em uma fase sólida secundária que crescerá perifericamente sobre a fase primária. Este é o fato pelo qual a reação leva o nome de peritética (</w:t>
      </w:r>
      <w:bookmarkStart w:id="37" w:name="_Hlk156986998"/>
      <w:r>
        <w:rPr>
          <w:rFonts w:cs="Times New Roman" w:ascii="Times New Roman" w:hAnsi="Times New Roman"/>
          <w:sz w:val="24"/>
        </w:rPr>
        <w:t>Fredriksson, 1976</w:t>
      </w:r>
      <w:bookmarkEnd w:id="37"/>
      <w:r>
        <w:rPr>
          <w:rFonts w:cs="Times New Roman" w:ascii="Times New Roman" w:hAnsi="Times New Roman"/>
          <w:sz w:val="24"/>
        </w:rPr>
        <w:t>).</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Conforme Rizzo (2006), os aços peritéticos podem se solidificar seguindo diferentes trajetórias até a formação da </w:t>
      </w:r>
      <w:bookmarkStart w:id="38" w:name="_Hlk156899113"/>
      <w:r>
        <w:rPr>
          <w:rFonts w:cs="Times New Roman" w:ascii="Times New Roman" w:hAnsi="Times New Roman"/>
          <w:sz w:val="24"/>
          <w:szCs w:val="24"/>
        </w:rPr>
        <w:t xml:space="preserve">austenita </w:t>
      </w:r>
      <w:r>
        <w:rPr>
          <w:rFonts w:cs="Times New Roman" w:ascii="Times New Roman" w:hAnsi="Times New Roman"/>
          <w:b/>
          <w:i/>
          <w:sz w:val="24"/>
          <w:szCs w:val="24"/>
        </w:rPr>
        <w:t>γ</w:t>
      </w:r>
      <w:bookmarkEnd w:id="38"/>
      <w:r>
        <w:rPr>
          <w:rFonts w:cs="Times New Roman" w:ascii="Times New Roman" w:hAnsi="Times New Roman"/>
          <w:sz w:val="24"/>
          <w:szCs w:val="24"/>
        </w:rPr>
        <w:t xml:space="preserve"> (</w:t>
      </w:r>
      <w:r>
        <w:rPr>
          <w:rFonts w:cs="Times New Roman" w:ascii="Times New Roman" w:hAnsi="Times New Roman"/>
          <w:sz w:val="24"/>
          <w:szCs w:val="21"/>
          <w:shd w:fill="FFFFFF" w:val="clear"/>
        </w:rPr>
        <w:t>fase sólida, não magnética, constituída de ferro na estrutura CFC)</w:t>
      </w:r>
      <w:r>
        <w:rPr>
          <w:rFonts w:cs="Times New Roman" w:ascii="Times New Roman" w:hAnsi="Times New Roman"/>
          <w:sz w:val="24"/>
          <w:szCs w:val="24"/>
        </w:rPr>
        <w:t xml:space="preserve">. Para efeitos práticos, a partir destas diversas trajetórias de solidificação, pode-se separar os aços em diferentes grupos: </w:t>
      </w:r>
    </w:p>
    <w:p>
      <w:pPr>
        <w:pStyle w:val="Normal"/>
        <w:spacing w:lineRule="auto" w:line="360" w:before="0" w:after="0"/>
        <w:ind w:firstLine="1134"/>
        <w:jc w:val="both"/>
        <w:rPr>
          <w:rFonts w:ascii="Times New Roman" w:hAnsi="Times New Roman" w:cs="Times New Roman"/>
          <w:sz w:val="24"/>
        </w:rPr>
      </w:pPr>
      <w:r>
        <w:rPr>
          <w:rFonts w:eastAsia="Symbol" w:cs="Symbol" w:ascii="Symbol" w:hAnsi="Symbol"/>
          <w:sz w:val="24"/>
        </w:rPr>
        <w:t></w:t>
      </w:r>
      <w:r>
        <w:rPr>
          <w:rFonts w:cs="Times New Roman" w:ascii="Times New Roman" w:hAnsi="Times New Roman"/>
          <w:sz w:val="24"/>
        </w:rPr>
        <w:t xml:space="preserve"> </w:t>
      </w:r>
      <w:r>
        <w:rPr>
          <w:rFonts w:cs="Times New Roman" w:ascii="Times New Roman" w:hAnsi="Times New Roman"/>
          <w:sz w:val="24"/>
        </w:rPr>
        <w:t xml:space="preserve">Baixo teor de carbono (%C &lt; 0,09) – Estrutura de solidificação </w:t>
      </w:r>
      <w:bookmarkStart w:id="39" w:name="_Hlk156899123"/>
      <w:r>
        <w:rPr>
          <w:rFonts w:cs="Times New Roman" w:ascii="Times New Roman" w:hAnsi="Times New Roman"/>
          <w:sz w:val="24"/>
        </w:rPr>
        <w:t>ferrítica δ</w:t>
      </w:r>
      <w:bookmarkEnd w:id="39"/>
      <w:r>
        <w:rPr>
          <w:rFonts w:cs="Times New Roman" w:ascii="Times New Roman" w:hAnsi="Times New Roman"/>
          <w:sz w:val="24"/>
        </w:rPr>
        <w:t xml:space="preserve">, reduzida intensidade de micros segregações, boa ductilidade a altas temperaturas e pequena suscetibilidade a trincas. </w:t>
      </w:r>
    </w:p>
    <w:p>
      <w:pPr>
        <w:pStyle w:val="Normal"/>
        <w:spacing w:lineRule="auto" w:line="360" w:before="0" w:after="0"/>
        <w:ind w:firstLine="1134"/>
        <w:jc w:val="both"/>
        <w:rPr>
          <w:rFonts w:ascii="Times New Roman" w:hAnsi="Times New Roman" w:cs="Times New Roman"/>
          <w:sz w:val="24"/>
        </w:rPr>
      </w:pPr>
      <w:r>
        <w:rPr>
          <w:rFonts w:eastAsia="Symbol" w:cs="Symbol" w:ascii="Symbol" w:hAnsi="Symbol"/>
          <w:sz w:val="24"/>
        </w:rPr>
        <w:t></w:t>
      </w:r>
      <w:r>
        <w:rPr>
          <w:rFonts w:cs="Times New Roman" w:ascii="Times New Roman" w:hAnsi="Times New Roman"/>
          <w:sz w:val="24"/>
        </w:rPr>
        <w:t xml:space="preserve"> </w:t>
      </w:r>
      <w:r>
        <w:rPr>
          <w:rFonts w:cs="Times New Roman" w:ascii="Times New Roman" w:hAnsi="Times New Roman"/>
          <w:sz w:val="24"/>
        </w:rPr>
        <w:t xml:space="preserve">Médio teor de carbono (0,09 ≤ %C ≤ 0,17) – Ocorre a reação peritética durante a solidificação, geração de tensões térmicas devido a diferenças de contrações entre as fases δ (CFC - F.E: 0,74) e γ (CCC - F.E.: 0,68), menor taxa de extração de calor e elevada susceptibilidade a trincas.  </w:t>
      </w:r>
    </w:p>
    <w:p>
      <w:pPr>
        <w:pStyle w:val="Normal"/>
        <w:spacing w:lineRule="auto" w:line="360" w:before="0" w:after="0"/>
        <w:ind w:firstLine="1134"/>
        <w:jc w:val="both"/>
        <w:rPr>
          <w:rFonts w:ascii="Times New Roman" w:hAnsi="Times New Roman" w:cs="Times New Roman"/>
          <w:sz w:val="24"/>
        </w:rPr>
      </w:pPr>
      <w:r>
        <w:rPr>
          <w:rFonts w:eastAsia="Symbol" w:cs="Symbol" w:ascii="Symbol" w:hAnsi="Symbol"/>
          <w:sz w:val="24"/>
        </w:rPr>
        <w:t></w:t>
      </w:r>
      <w:r>
        <w:rPr>
          <w:rFonts w:cs="Times New Roman" w:ascii="Times New Roman" w:hAnsi="Times New Roman"/>
          <w:sz w:val="24"/>
        </w:rPr>
        <w:t xml:space="preserve"> </w:t>
      </w:r>
      <w:r>
        <w:rPr>
          <w:rFonts w:cs="Times New Roman" w:ascii="Times New Roman" w:hAnsi="Times New Roman"/>
          <w:sz w:val="24"/>
        </w:rPr>
        <w:t xml:space="preserve">Médio teor de carbono (0,17 &lt; %C ≤ 0,53) – Ocorre a reação peritética durante a solidificação, mas é sucedida formação de líquido e γ; a presença de líquido minimiza o efeito de contração, ocupando os vazios, reduzindo a tendência à formação de trincas. </w:t>
      </w:r>
    </w:p>
    <w:p>
      <w:pPr>
        <w:pStyle w:val="Normal"/>
        <w:spacing w:lineRule="auto" w:line="360" w:before="0" w:after="0"/>
        <w:ind w:firstLine="1134"/>
        <w:jc w:val="both"/>
        <w:rPr>
          <w:rFonts w:ascii="Times New Roman" w:hAnsi="Times New Roman" w:cs="Times New Roman"/>
          <w:sz w:val="24"/>
        </w:rPr>
      </w:pPr>
      <w:r>
        <w:rPr>
          <w:rFonts w:eastAsia="Symbol" w:cs="Symbol" w:ascii="Symbol" w:hAnsi="Symbol"/>
          <w:sz w:val="24"/>
        </w:rPr>
        <w:t></w:t>
      </w:r>
      <w:r>
        <w:rPr>
          <w:rFonts w:cs="Times New Roman" w:ascii="Times New Roman" w:hAnsi="Times New Roman"/>
          <w:sz w:val="24"/>
        </w:rPr>
        <w:t xml:space="preserve"> </w:t>
      </w:r>
      <w:r>
        <w:rPr>
          <w:rFonts w:cs="Times New Roman" w:ascii="Times New Roman" w:hAnsi="Times New Roman"/>
          <w:sz w:val="24"/>
        </w:rPr>
        <w:t>Alto teor de carbono (%C &gt; 0,53) – Estrutura de solidificação austenítica - γ, elevada intensidade de micros segregações, baixa ductibilidade a altas temperaturas e elevada susceptibilidade a trincas.</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left="1276" w:hanging="0"/>
        <w:jc w:val="both"/>
        <w:rPr>
          <w:rFonts w:ascii="Times New Roman" w:hAnsi="Times New Roman" w:cs="Times New Roman"/>
          <w:sz w:val="24"/>
          <w:szCs w:val="24"/>
        </w:rPr>
      </w:pPr>
      <w:r>
        <w:rPr>
          <w:rFonts w:cs="Times New Roman" w:ascii="Times New Roman" w:hAnsi="Times New Roman"/>
          <w:sz w:val="24"/>
          <w:szCs w:val="24"/>
        </w:rPr>
        <w:t>Figura 7 - Região de solidificação dos aços peritéticos.</w:t>
      </w:r>
    </w:p>
    <w:p>
      <w:pPr>
        <w:pStyle w:val="Normal"/>
        <w:spacing w:lineRule="auto" w:line="360" w:before="0" w:after="0"/>
        <w:jc w:val="center"/>
        <w:rPr>
          <w:rFonts w:ascii="Times New Roman" w:hAnsi="Times New Roman" w:cs="Times New Roman"/>
          <w:sz w:val="24"/>
          <w:szCs w:val="24"/>
        </w:rPr>
      </w:pPr>
      <w:r>
        <w:rPr/>
        <w:drawing>
          <wp:inline distT="0" distB="8255" distL="0" distR="0">
            <wp:extent cx="3816350" cy="2677795"/>
            <wp:effectExtent l="0" t="0" r="0" b="0"/>
            <wp:docPr id="15"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descr=""/>
                    <pic:cNvPicPr>
                      <a:picLocks noChangeAspect="1" noChangeArrowheads="1"/>
                    </pic:cNvPicPr>
                  </pic:nvPicPr>
                  <pic:blipFill>
                    <a:blip r:embed="rId11"/>
                    <a:srcRect l="25330" t="14541" r="30499" b="3431"/>
                    <a:stretch>
                      <a:fillRect/>
                    </a:stretch>
                  </pic:blipFill>
                  <pic:spPr bwMode="auto">
                    <a:xfrm>
                      <a:off x="0" y="0"/>
                      <a:ext cx="3816350" cy="2677795"/>
                    </a:xfrm>
                    <a:prstGeom prst="rect">
                      <a:avLst/>
                    </a:prstGeom>
                  </pic:spPr>
                </pic:pic>
              </a:graphicData>
            </a:graphic>
          </wp:inline>
        </w:drawing>
      </w:r>
    </w:p>
    <w:p>
      <w:pPr>
        <w:pStyle w:val="Normal"/>
        <w:spacing w:lineRule="auto" w:line="360" w:before="0" w:after="0"/>
        <w:ind w:left="1276" w:hanging="0"/>
        <w:jc w:val="both"/>
        <w:rPr>
          <w:rFonts w:ascii="Times New Roman" w:hAnsi="Times New Roman" w:cs="Times New Roman"/>
          <w:sz w:val="20"/>
          <w:szCs w:val="24"/>
        </w:rPr>
      </w:pPr>
      <w:r>
        <w:rPr>
          <w:rFonts w:cs="Times New Roman" w:ascii="Times New Roman" w:hAnsi="Times New Roman"/>
          <w:sz w:val="20"/>
          <w:szCs w:val="24"/>
        </w:rPr>
        <w:t xml:space="preserve">Fonte: </w:t>
      </w:r>
      <w:bookmarkStart w:id="40" w:name="_Hlk156987030"/>
      <w:r>
        <w:rPr>
          <w:rFonts w:cs="Times New Roman" w:ascii="Times New Roman" w:hAnsi="Times New Roman"/>
          <w:sz w:val="20"/>
          <w:szCs w:val="24"/>
        </w:rPr>
        <w:t>OLIVEIRA (2009</w:t>
      </w:r>
      <w:bookmarkEnd w:id="40"/>
      <w:r>
        <w:rPr>
          <w:rFonts w:cs="Times New Roman" w:ascii="Times New Roman" w:hAnsi="Times New Roman"/>
          <w:sz w:val="20"/>
          <w:szCs w:val="24"/>
        </w:rPr>
        <w:t>).</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Nos aços peritéticos, de médio carbono (</w:t>
      </w:r>
      <w:r>
        <w:rPr>
          <w:rFonts w:cs="Times New Roman" w:ascii="Times New Roman" w:hAnsi="Times New Roman"/>
          <w:sz w:val="24"/>
        </w:rPr>
        <w:t>0,09 ≤ %C ≤ 0,17)</w:t>
      </w:r>
      <w:r>
        <w:rPr>
          <w:rFonts w:cs="Times New Roman" w:ascii="Times New Roman" w:hAnsi="Times New Roman"/>
          <w:sz w:val="24"/>
          <w:szCs w:val="24"/>
        </w:rPr>
        <w:t xml:space="preserve">, uma contração volumétrica (cerca de 0,06%) acompanha a progressão da interface δ/γ durante a transformação δ → γ devido à estrutura cristalina da </w:t>
      </w:r>
      <w:r>
        <w:rPr>
          <w:rFonts w:cs="Times New Roman" w:ascii="Times New Roman" w:hAnsi="Times New Roman"/>
          <w:sz w:val="24"/>
        </w:rPr>
        <w:t>δ CFC e γ CCC (com fatores de empacotamento 0,74 e 0,68 respectivamente)</w:t>
      </w:r>
      <w:r>
        <w:rPr>
          <w:rFonts w:cs="Times New Roman" w:ascii="Times New Roman" w:hAnsi="Times New Roman"/>
          <w:sz w:val="24"/>
          <w:szCs w:val="24"/>
        </w:rPr>
        <w:t xml:space="preserve">. Além disso, existe uma incompatibilidade de 4% entre o coeficiente de contração térmica das fases δ e γ.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rPr>
        <w:t xml:space="preserve">Essa contração gera o deslocamento da pele formada em relação à parede do molde, formando um vazio chamado de “Gap”.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A figura 8 apresenta um desenho esquemático de como a reação peritética ocorre para um aço de 0,15% de carbono e como, após a contração volumétrica, se forma um vazio na estrutura.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1418" w:right="1701" w:hanging="0"/>
        <w:jc w:val="both"/>
        <w:rPr>
          <w:rFonts w:ascii="Times New Roman" w:hAnsi="Times New Roman" w:cs="Times New Roman"/>
          <w:sz w:val="24"/>
          <w:szCs w:val="24"/>
        </w:rPr>
      </w:pPr>
      <w:r>
        <w:rPr>
          <w:rFonts w:cs="Times New Roman" w:ascii="Times New Roman" w:hAnsi="Times New Roman"/>
          <w:sz w:val="24"/>
          <w:szCs w:val="24"/>
        </w:rPr>
        <w:t>Figura 8 - Esquema de solidificação para um aço com 0,15% de carbono antes e após a reação peritética.</w:t>
      </w:r>
      <w:bookmarkStart w:id="41" w:name="_Hlk156893216"/>
      <w:bookmarkEnd w:id="41"/>
    </w:p>
    <w:p>
      <w:pPr>
        <w:pStyle w:val="Corpodetexto"/>
        <w:spacing w:lineRule="auto" w:line="360" w:before="1" w:after="0"/>
        <w:ind w:right="107" w:hanging="0"/>
        <w:jc w:val="center"/>
        <w:rPr>
          <w:rFonts w:ascii="Times New Roman" w:hAnsi="Times New Roman" w:cs="Times New Roman"/>
          <w:sz w:val="24"/>
          <w:szCs w:val="24"/>
        </w:rPr>
      </w:pPr>
      <w:r>
        <w:rPr/>
        <w:drawing>
          <wp:inline distT="0" distB="0" distL="0" distR="4445">
            <wp:extent cx="3824605" cy="2514600"/>
            <wp:effectExtent l="0" t="0" r="0" b="0"/>
            <wp:docPr id="16" name="Imagem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51" descr=""/>
                    <pic:cNvPicPr>
                      <a:picLocks noChangeAspect="1" noChangeArrowheads="1"/>
                    </pic:cNvPicPr>
                  </pic:nvPicPr>
                  <pic:blipFill>
                    <a:blip r:embed="rId12"/>
                    <a:stretch>
                      <a:fillRect/>
                    </a:stretch>
                  </pic:blipFill>
                  <pic:spPr bwMode="auto">
                    <a:xfrm>
                      <a:off x="0" y="0"/>
                      <a:ext cx="3824605" cy="2514600"/>
                    </a:xfrm>
                    <a:prstGeom prst="rect">
                      <a:avLst/>
                    </a:prstGeom>
                  </pic:spPr>
                </pic:pic>
              </a:graphicData>
            </a:graphic>
          </wp:inline>
        </w:drawing>
      </w:r>
    </w:p>
    <w:p>
      <w:pPr>
        <w:pStyle w:val="Corpodetexto"/>
        <w:spacing w:lineRule="auto" w:line="360" w:before="1" w:after="0"/>
        <w:ind w:left="1418" w:right="107" w:hanging="0"/>
        <w:jc w:val="both"/>
        <w:rPr>
          <w:rFonts w:ascii="Times New Roman" w:hAnsi="Times New Roman" w:cs="Times New Roman"/>
          <w:sz w:val="20"/>
          <w:szCs w:val="24"/>
        </w:rPr>
      </w:pPr>
      <w:r>
        <w:rPr>
          <w:rFonts w:cs="Times New Roman" w:ascii="Times New Roman" w:hAnsi="Times New Roman"/>
          <w:sz w:val="20"/>
          <w:szCs w:val="24"/>
        </w:rPr>
        <w:t>Fonte: OLIVEIRA (2009).</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r>
    </w:p>
    <w:p>
      <w:pPr>
        <w:pStyle w:val="Corpodetexto"/>
        <w:spacing w:lineRule="auto" w:line="360" w:before="1" w:after="0"/>
        <w:ind w:right="107" w:firstLine="1134"/>
        <w:jc w:val="both"/>
        <w:rPr>
          <w:rFonts w:ascii="Times New Roman" w:hAnsi="Times New Roman" w:cs="Times New Roman"/>
          <w:sz w:val="24"/>
          <w:szCs w:val="24"/>
        </w:rPr>
      </w:pPr>
      <w:r>
        <w:rPr>
          <w:rFonts w:cs="Times New Roman" w:ascii="Times New Roman" w:hAnsi="Times New Roman"/>
          <w:sz w:val="24"/>
          <w:szCs w:val="24"/>
        </w:rPr>
        <w:t>Essa incompatibilidade nos coeficientes de contração, juntamente com a formação de uma casca irregular, leva ao acúmulo de tensões e ao surgimento de trincas longitudinais (</w:t>
      </w:r>
      <w:bookmarkStart w:id="42" w:name="_Hlk156987042"/>
      <w:r>
        <w:rPr>
          <w:rFonts w:cs="Times New Roman" w:ascii="Times New Roman" w:hAnsi="Times New Roman"/>
          <w:sz w:val="24"/>
          <w:szCs w:val="24"/>
        </w:rPr>
        <w:t>Guo et al., 2019</w:t>
      </w:r>
      <w:bookmarkEnd w:id="42"/>
      <w:r>
        <w:rPr>
          <w:rFonts w:cs="Times New Roman" w:ascii="Times New Roman" w:hAnsi="Times New Roman"/>
          <w:sz w:val="24"/>
          <w:szCs w:val="24"/>
        </w:rPr>
        <w:t>).</w:t>
      </w:r>
    </w:p>
    <w:p>
      <w:pPr>
        <w:pStyle w:val="Corpodetexto"/>
        <w:tabs>
          <w:tab w:val="left" w:pos="2370" w:leader="none"/>
        </w:tabs>
        <w:spacing w:lineRule="auto" w:line="360" w:before="1" w:after="0"/>
        <w:ind w:right="107" w:firstLine="1134"/>
        <w:jc w:val="both"/>
        <w:rPr>
          <w:rFonts w:ascii="Times New Roman" w:hAnsi="Times New Roman" w:cs="Times New Roman"/>
          <w:sz w:val="24"/>
          <w:szCs w:val="24"/>
        </w:rPr>
      </w:pPr>
      <w:r>
        <w:rPr>
          <w:rFonts w:cs="Times New Roman" w:ascii="Times New Roman" w:hAnsi="Times New Roman"/>
          <w:sz w:val="24"/>
          <w:szCs w:val="24"/>
        </w:rPr>
        <w:tab/>
      </w:r>
    </w:p>
    <w:p>
      <w:pPr>
        <w:pStyle w:val="Normal"/>
        <w:spacing w:lineRule="auto" w:line="360" w:before="0" w:after="0"/>
        <w:jc w:val="both"/>
        <w:rPr>
          <w:rFonts w:ascii="Times New Roman" w:hAnsi="Times New Roman" w:cs="Times New Roman"/>
          <w:b/>
          <w:b/>
          <w:sz w:val="28"/>
        </w:rPr>
      </w:pPr>
      <w:r>
        <w:rPr>
          <w:rFonts w:cs="Times New Roman" w:ascii="Times New Roman" w:hAnsi="Times New Roman"/>
          <w:b/>
          <w:sz w:val="24"/>
        </w:rPr>
        <w:t>3.3 Trincas no lingotamento contínuo</w:t>
      </w:r>
      <w:bookmarkStart w:id="43" w:name="_Hlk156918037"/>
      <w:bookmarkEnd w:id="43"/>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As trincas são consideradas os principais defeitos que ocorrem durante o lingotamento contínuo dos aços e a utilização de pó fluxante inadequado é uma das principais causas.</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Trincas longitudinais, nos piores casos, podem atingir de 1mm a 3mm de profundidade e formam de trincas nos produtos laminados</w:t>
      </w:r>
      <w:r>
        <w:rPr>
          <w:rFonts w:cs="Times New Roman" w:ascii="Times New Roman" w:hAnsi="Times New Roman"/>
          <w:sz w:val="24"/>
          <w:szCs w:val="24"/>
        </w:rPr>
        <w:t>.</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Trincas longitudinais na face, tem origem no molde, e podem crescer de tamanho durante a sequência do processo de lingotamento contínuo devido a tensões térmicas e mecânicas.</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 xml:space="preserve">Trincas transversais, ocorrem principalmente devido ao agarramento no molde gerado por uma lubrificação desigual, que causa a falta de contato do lubrificante com a parede do molde e alta taxa de resfriamento no molde </w:t>
      </w:r>
      <w:r>
        <w:rPr>
          <w:rFonts w:cs="Times New Roman" w:ascii="Times New Roman" w:hAnsi="Times New Roman"/>
          <w:sz w:val="24"/>
          <w:szCs w:val="24"/>
        </w:rPr>
        <w:t>(Almeida; Costa ,2013).</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rPr>
        <w:t>A figura 9 ilustra a</w:t>
      </w:r>
      <w:r>
        <w:rPr>
          <w:rFonts w:cs="Times New Roman" w:ascii="Times New Roman" w:hAnsi="Times New Roman"/>
          <w:sz w:val="24"/>
          <w:szCs w:val="24"/>
        </w:rPr>
        <w:t>lguns defeitos de trincas em placas do lingotamento contínuo do aço.</w:t>
      </w:r>
    </w:p>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142" w:right="1134" w:hanging="0"/>
        <w:rPr>
          <w:rFonts w:ascii="Times New Roman" w:hAnsi="Times New Roman" w:cs="Times New Roman"/>
          <w:sz w:val="24"/>
          <w:szCs w:val="24"/>
        </w:rPr>
      </w:pPr>
      <w:r>
        <w:rPr>
          <w:rFonts w:cs="Times New Roman" w:ascii="Times New Roman" w:hAnsi="Times New Roman"/>
          <w:sz w:val="24"/>
          <w:szCs w:val="24"/>
        </w:rPr>
        <w:t>Figura 9 - Trincas em placas no lingotamento contínuo.</w:t>
      </w:r>
    </w:p>
    <w:p>
      <w:pPr>
        <w:pStyle w:val="Normal"/>
        <w:spacing w:lineRule="auto" w:line="360" w:before="0" w:after="0"/>
        <w:jc w:val="center"/>
        <w:rPr>
          <w:rFonts w:ascii="Times New Roman" w:hAnsi="Times New Roman" w:cs="Times New Roman"/>
          <w:sz w:val="24"/>
          <w:szCs w:val="24"/>
        </w:rPr>
      </w:pPr>
      <w:r>
        <w:rPr/>
        <w:drawing>
          <wp:inline distT="0" distB="0" distL="0" distR="0">
            <wp:extent cx="5474335" cy="1836420"/>
            <wp:effectExtent l="0" t="0" r="0" b="0"/>
            <wp:docPr id="17" name="Imagem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29" descr=""/>
                    <pic:cNvPicPr>
                      <a:picLocks noChangeAspect="1" noChangeArrowheads="1"/>
                    </pic:cNvPicPr>
                  </pic:nvPicPr>
                  <pic:blipFill>
                    <a:blip r:embed="rId13"/>
                    <a:stretch>
                      <a:fillRect/>
                    </a:stretch>
                  </pic:blipFill>
                  <pic:spPr bwMode="auto">
                    <a:xfrm>
                      <a:off x="0" y="0"/>
                      <a:ext cx="5474335" cy="1836420"/>
                    </a:xfrm>
                    <a:prstGeom prst="rect">
                      <a:avLst/>
                    </a:prstGeom>
                  </pic:spPr>
                </pic:pic>
              </a:graphicData>
            </a:graphic>
          </wp:inline>
        </w:drawing>
      </w:r>
    </w:p>
    <w:p>
      <w:pPr>
        <w:pStyle w:val="Normal"/>
        <w:spacing w:lineRule="auto" w:line="360" w:before="0" w:after="0"/>
        <w:ind w:left="142" w:hanging="0"/>
        <w:rPr>
          <w:rFonts w:ascii="Times New Roman" w:hAnsi="Times New Roman" w:cs="Times New Roman"/>
          <w:sz w:val="20"/>
          <w:szCs w:val="20"/>
        </w:rPr>
      </w:pPr>
      <w:r>
        <w:rPr>
          <w:rFonts w:cs="Times New Roman" w:ascii="Times New Roman" w:hAnsi="Times New Roman"/>
          <w:sz w:val="20"/>
          <w:szCs w:val="20"/>
        </w:rPr>
        <w:t>Fonte: ALMEIDA e COSTA (2013).</w:t>
      </w:r>
    </w:p>
    <w:p>
      <w:pPr>
        <w:pStyle w:val="Corpodetexto"/>
        <w:spacing w:lineRule="auto" w:line="360" w:before="1" w:after="0"/>
        <w:ind w:right="107" w:firstLine="1134"/>
        <w:jc w:val="both"/>
        <w:rPr>
          <w:rFonts w:ascii="Times New Roman" w:hAnsi="Times New Roman" w:cs="Times New Roman"/>
          <w:strike/>
          <w:sz w:val="24"/>
          <w:szCs w:val="24"/>
        </w:rPr>
      </w:pPr>
      <w:r>
        <w:rPr>
          <w:rFonts w:cs="Times New Roman" w:ascii="Times New Roman" w:hAnsi="Times New Roman"/>
          <w:strike/>
          <w:sz w:val="24"/>
          <w:szCs w:val="24"/>
        </w:rPr>
      </w:r>
    </w:p>
    <w:p>
      <w:pPr>
        <w:pStyle w:val="Corpodetexto"/>
        <w:spacing w:lineRule="auto" w:line="360" w:before="1" w:after="0"/>
        <w:ind w:right="107" w:firstLine="1134"/>
        <w:jc w:val="both"/>
        <w:rPr>
          <w:rFonts w:ascii="Times New Roman" w:hAnsi="Times New Roman" w:cs="Times New Roman"/>
          <w:sz w:val="24"/>
          <w:szCs w:val="24"/>
        </w:rPr>
      </w:pPr>
      <w:r>
        <w:rPr>
          <w:rFonts w:cs="Times New Roman" w:ascii="Times New Roman" w:hAnsi="Times New Roman"/>
          <w:sz w:val="24"/>
          <w:szCs w:val="24"/>
        </w:rPr>
        <w:t>Nos aços peritético de médio carbono (</w:t>
      </w:r>
      <w:r>
        <w:rPr>
          <w:rFonts w:cs="Times New Roman" w:ascii="Times New Roman" w:hAnsi="Times New Roman"/>
          <w:sz w:val="24"/>
        </w:rPr>
        <w:t xml:space="preserve">0,09 ≤ %C ≤ 0,17), o “gap”, gerado no processo de lingotamento contínuo, dificulta a transferência de calor e ocasiona um reaquecimento local nesta área. Isso causa um decréscimo da resistência e retardo do crescimento da pele sólida </w:t>
      </w:r>
      <w:r>
        <w:rPr>
          <w:rFonts w:cs="Times New Roman" w:ascii="Times New Roman" w:hAnsi="Times New Roman"/>
          <w:sz w:val="24"/>
          <w:szCs w:val="24"/>
        </w:rPr>
        <w:t>que propicia a formação de uma superfície rugosa ou com depressões na peça solidificada.</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 xml:space="preserve">Este comportamento pode ocasionar a formação de trincas durante a solidificação dos produtos lingotados e isto aumenta a tendência à ocorrência de rompimento de pele durante o lingotamento contínuo dos aços (Rizzo, 2006). </w:t>
      </w:r>
    </w:p>
    <w:p>
      <w:pPr>
        <w:pStyle w:val="Normal"/>
        <w:tabs>
          <w:tab w:val="left" w:pos="6804" w:leader="none"/>
        </w:tabs>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figura 10 mostra a estrutura cristalina da austenita (</w:t>
      </w:r>
      <w:r>
        <w:rPr>
          <w:rFonts w:cs="Times New Roman" w:ascii="Times New Roman" w:hAnsi="Times New Roman"/>
          <w:b/>
          <w:sz w:val="24"/>
          <w:szCs w:val="24"/>
        </w:rPr>
        <w:t>γ</w:t>
      </w:r>
      <w:r>
        <w:rPr>
          <w:rFonts w:cs="Times New Roman" w:ascii="Times New Roman" w:hAnsi="Times New Roman"/>
          <w:sz w:val="24"/>
          <w:szCs w:val="24"/>
        </w:rPr>
        <w:t>) na pele de aço (baixo, médio e alto carbono) solidificada.</w:t>
      </w:r>
    </w:p>
    <w:p>
      <w:pPr>
        <w:pStyle w:val="Corpodetexto"/>
        <w:spacing w:lineRule="auto" w:line="360" w:before="1" w:after="0"/>
        <w:ind w:right="107"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6804" w:leader="none"/>
        </w:tabs>
        <w:spacing w:lineRule="auto" w:line="360" w:before="0" w:after="0"/>
        <w:ind w:left="1276" w:right="1276" w:hanging="0"/>
        <w:jc w:val="both"/>
        <w:rPr>
          <w:rFonts w:ascii="Times New Roman" w:hAnsi="Times New Roman" w:cs="Times New Roman"/>
          <w:sz w:val="24"/>
          <w:szCs w:val="24"/>
        </w:rPr>
      </w:pPr>
      <w:r>
        <w:rPr>
          <w:rFonts w:cs="Times New Roman" w:ascii="Times New Roman" w:hAnsi="Times New Roman"/>
          <w:sz w:val="24"/>
          <w:szCs w:val="24"/>
        </w:rPr>
        <w:t>Figura 10 - Pele de aço solidificada: (a) aço baixo e alto carbono; (b) aço médio carbono.</w:t>
      </w:r>
      <w:bookmarkStart w:id="44" w:name="_Hlk156893282"/>
      <w:bookmarkEnd w:id="44"/>
    </w:p>
    <w:p>
      <w:pPr>
        <w:pStyle w:val="Normal"/>
        <w:tabs>
          <w:tab w:val="left" w:pos="6804" w:leader="none"/>
        </w:tabs>
        <w:spacing w:lineRule="auto" w:line="360" w:before="0" w:after="0"/>
        <w:jc w:val="center"/>
        <w:rPr/>
      </w:pPr>
      <w:r>
        <w:rPr/>
        <w:drawing>
          <wp:inline distT="0" distB="9525" distL="0" distR="3175">
            <wp:extent cx="3863975" cy="2486025"/>
            <wp:effectExtent l="0" t="0" r="0" b="0"/>
            <wp:docPr id="18" name="Imagem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20" descr=""/>
                    <pic:cNvPicPr>
                      <a:picLocks noChangeAspect="1" noChangeArrowheads="1"/>
                    </pic:cNvPicPr>
                  </pic:nvPicPr>
                  <pic:blipFill>
                    <a:blip r:embed="rId14"/>
                    <a:srcRect l="20239" t="32845" r="34430" b="11143"/>
                    <a:stretch>
                      <a:fillRect/>
                    </a:stretch>
                  </pic:blipFill>
                  <pic:spPr bwMode="auto">
                    <a:xfrm>
                      <a:off x="0" y="0"/>
                      <a:ext cx="3863975" cy="2486025"/>
                    </a:xfrm>
                    <a:prstGeom prst="rect">
                      <a:avLst/>
                    </a:prstGeom>
                  </pic:spPr>
                </pic:pic>
              </a:graphicData>
            </a:graphic>
          </wp:inline>
        </w:drawing>
      </w:r>
    </w:p>
    <w:p>
      <w:pPr>
        <w:pStyle w:val="Normal"/>
        <w:spacing w:lineRule="auto" w:line="360" w:before="0" w:after="0"/>
        <w:ind w:left="1276" w:hanging="0"/>
        <w:jc w:val="both"/>
        <w:rPr>
          <w:rFonts w:ascii="Times New Roman" w:hAnsi="Times New Roman" w:cs="Times New Roman"/>
          <w:sz w:val="20"/>
        </w:rPr>
      </w:pPr>
      <w:r>
        <w:rPr>
          <w:rFonts w:cs="Times New Roman" w:ascii="Times New Roman" w:hAnsi="Times New Roman"/>
          <w:sz w:val="20"/>
        </w:rPr>
        <w:t xml:space="preserve">Fonte: </w:t>
      </w:r>
      <w:bookmarkStart w:id="45" w:name="_Hlk156987097"/>
      <w:r>
        <w:rPr>
          <w:rFonts w:cs="Times New Roman" w:ascii="Times New Roman" w:hAnsi="Times New Roman"/>
          <w:sz w:val="20"/>
        </w:rPr>
        <w:t>MINTZ et. al. (1991</w:t>
      </w:r>
      <w:bookmarkEnd w:id="45"/>
      <w:r>
        <w:rPr>
          <w:rFonts w:cs="Times New Roman" w:ascii="Times New Roman" w:hAnsi="Times New Roman"/>
          <w:sz w:val="20"/>
        </w:rPr>
        <w:t>).</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rPr>
        <w:t xml:space="preserve">Se a quantidade de carbono no aço estiver na faixa de 0,085~0,145%, a tendência de fissuração longitudinal aumentará. A figura 11 ilustra uma trinca longitudinal em quase todo o comprimento da placa. Nessa dimensão, só ocorre em aço peritético devido a sua porcentagem de carbono. </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left="284" w:hanging="0"/>
        <w:rPr>
          <w:rFonts w:ascii="Times New Roman" w:hAnsi="Times New Roman" w:cs="Times New Roman"/>
          <w:sz w:val="24"/>
        </w:rPr>
      </w:pPr>
      <w:r>
        <w:rPr>
          <w:rFonts w:cs="Times New Roman" w:ascii="Times New Roman" w:hAnsi="Times New Roman"/>
          <w:sz w:val="24"/>
        </w:rPr>
        <w:t>Figura 11 - Trinca longitudinal na superfície de uma placa de aço.</w:t>
      </w:r>
      <w:bookmarkStart w:id="46" w:name="_Hlk156893315"/>
      <w:bookmarkEnd w:id="46"/>
    </w:p>
    <w:p>
      <w:pPr>
        <w:pStyle w:val="Normal"/>
        <w:spacing w:lineRule="auto" w:line="360" w:before="0" w:after="0"/>
        <w:jc w:val="center"/>
        <w:rPr>
          <w:rFonts w:ascii="Times New Roman" w:hAnsi="Times New Roman" w:cs="Times New Roman"/>
          <w:sz w:val="24"/>
        </w:rPr>
      </w:pPr>
      <w:r>
        <w:rPr/>
        <w:drawing>
          <wp:inline distT="0" distB="4445" distL="0" distR="8255">
            <wp:extent cx="5135880" cy="3367405"/>
            <wp:effectExtent l="0" t="0" r="0" b="0"/>
            <wp:docPr id="19" name="Imagem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53" descr=""/>
                    <pic:cNvPicPr>
                      <a:picLocks noChangeAspect="1" noChangeArrowheads="1"/>
                    </pic:cNvPicPr>
                  </pic:nvPicPr>
                  <pic:blipFill>
                    <a:blip r:embed="rId15"/>
                    <a:srcRect l="26608" t="35110" r="26467" b="19442"/>
                    <a:stretch>
                      <a:fillRect/>
                    </a:stretch>
                  </pic:blipFill>
                  <pic:spPr bwMode="auto">
                    <a:xfrm>
                      <a:off x="0" y="0"/>
                      <a:ext cx="5135880" cy="3367405"/>
                    </a:xfrm>
                    <a:prstGeom prst="rect">
                      <a:avLst/>
                    </a:prstGeom>
                  </pic:spPr>
                </pic:pic>
              </a:graphicData>
            </a:graphic>
          </wp:inline>
        </w:drawing>
      </w:r>
    </w:p>
    <w:p>
      <w:pPr>
        <w:pStyle w:val="Normal"/>
        <w:spacing w:lineRule="auto" w:line="360" w:before="0" w:after="0"/>
        <w:ind w:left="284" w:hanging="0"/>
        <w:rPr>
          <w:rFonts w:ascii="Times New Roman" w:hAnsi="Times New Roman" w:cs="Times New Roman"/>
          <w:sz w:val="20"/>
        </w:rPr>
      </w:pPr>
      <w:r>
        <w:rPr>
          <w:rFonts w:cs="Times New Roman" w:ascii="Times New Roman" w:hAnsi="Times New Roman"/>
          <w:sz w:val="20"/>
        </w:rPr>
        <w:t>Fonte: KLUG et al. (2023).</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A trinca grave possui comprimento igual ou superior a 300 mm e profundidade de 2,5 mm, gerando um defeito na placa laminada que pode chegar ao descarte. Para que uma placa, com trinca longitudinal grave, possa seguir seu destino programado, é necessário a realização de um processo de acabamento e que elimine o defeito. Este processo é denominado escarfagem e gera custo adicional na produção, que varia com a quantidade e intensidade das trincas presente na placa, ou seja, com o grau de dificuldade de remoção do defeito. A depender da dimensão do defeito, a remoção pode não ser possível, o que resulta no sucateamento da placa. (</w:t>
      </w:r>
      <w:bookmarkStart w:id="47" w:name="_Hlk156987173"/>
      <w:r>
        <w:rPr>
          <w:rFonts w:cs="Times New Roman" w:ascii="Times New Roman" w:hAnsi="Times New Roman"/>
          <w:sz w:val="24"/>
        </w:rPr>
        <w:t>Henrique et. al., 2012</w:t>
      </w:r>
      <w:bookmarkEnd w:id="47"/>
      <w:r>
        <w:rPr>
          <w:rFonts w:cs="Times New Roman" w:ascii="Times New Roman" w:hAnsi="Times New Roman"/>
          <w:sz w:val="24"/>
        </w:rPr>
        <w:t>)</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 xml:space="preserve">Segundo </w:t>
      </w:r>
      <w:bookmarkStart w:id="48" w:name="_Hlk156987183"/>
      <w:r>
        <w:rPr>
          <w:rFonts w:cs="Times New Roman" w:ascii="Times New Roman" w:hAnsi="Times New Roman"/>
          <w:sz w:val="24"/>
        </w:rPr>
        <w:t>Nakato (1984</w:t>
      </w:r>
      <w:bookmarkEnd w:id="48"/>
      <w:r>
        <w:rPr>
          <w:rFonts w:cs="Times New Roman" w:ascii="Times New Roman" w:hAnsi="Times New Roman"/>
          <w:sz w:val="24"/>
        </w:rPr>
        <w:t>) a formação de trincas longitudinais é ditada pela composição da liga e por condições de resfriamento rápido ou não uniforme. Assim, essas podem ser reduzidas selecionando-se uma velocidade de lingotamento mais baixa e pós fluxantes especiais (</w:t>
      </w:r>
      <w:bookmarkStart w:id="49" w:name="_Hlk156987193"/>
      <w:r>
        <w:rPr>
          <w:rFonts w:cs="Times New Roman" w:ascii="Times New Roman" w:hAnsi="Times New Roman"/>
          <w:sz w:val="24"/>
        </w:rPr>
        <w:t>Guo et al., 2019</w:t>
      </w:r>
      <w:bookmarkEnd w:id="49"/>
      <w:r>
        <w:rPr>
          <w:rFonts w:cs="Times New Roman" w:ascii="Times New Roman" w:hAnsi="Times New Roman"/>
          <w:sz w:val="24"/>
        </w:rPr>
        <w:t xml:space="preserve">). </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Conforme Klug (2023), algumas das possíveis causas das trincas longitudinais em aços peritéticos são:</w:t>
      </w:r>
    </w:p>
    <w:p>
      <w:pPr>
        <w:pStyle w:val="ListParagraph"/>
        <w:numPr>
          <w:ilvl w:val="0"/>
          <w:numId w:val="12"/>
        </w:numPr>
        <w:spacing w:lineRule="auto" w:line="360" w:before="0" w:after="0"/>
        <w:ind w:left="1134" w:hanging="0"/>
        <w:contextualSpacing/>
        <w:jc w:val="both"/>
        <w:rPr>
          <w:rFonts w:ascii="Times New Roman" w:hAnsi="Times New Roman"/>
          <w:sz w:val="24"/>
        </w:rPr>
      </w:pPr>
      <w:r>
        <w:rPr>
          <w:rFonts w:ascii="Times New Roman" w:hAnsi="Times New Roman"/>
          <w:sz w:val="24"/>
        </w:rPr>
        <w:t>A baixa fusão do pó fluxante e o acúmulo de escória líquida excessivamente espessa ou fina causam irregularidades na espessura do filme de escória, o que torna o local de aço solidificado com a casca muito fina. Se a camada de escória líquida for inferior a 10 mm, as fissuras longitudinais aumentam visivelmente.</w:t>
      </w:r>
    </w:p>
    <w:p>
      <w:pPr>
        <w:pStyle w:val="ListParagraph"/>
        <w:numPr>
          <w:ilvl w:val="0"/>
          <w:numId w:val="12"/>
        </w:numPr>
        <w:spacing w:lineRule="auto" w:line="360" w:before="0" w:after="0"/>
        <w:ind w:left="1134" w:hanging="0"/>
        <w:contextualSpacing/>
        <w:jc w:val="both"/>
        <w:rPr>
          <w:rFonts w:ascii="Times New Roman" w:hAnsi="Times New Roman"/>
          <w:sz w:val="24"/>
        </w:rPr>
      </w:pPr>
      <w:r>
        <w:rPr>
          <w:rFonts w:ascii="Times New Roman" w:hAnsi="Times New Roman"/>
          <w:sz w:val="24"/>
        </w:rPr>
        <w:t>A cinética de cristalização do pó fluxante não é adequada, consequentemente a taxa de fluxo de calor horizontal (medida no molde) não é baixa.</w:t>
      </w:r>
    </w:p>
    <w:p>
      <w:pPr>
        <w:pStyle w:val="Normal"/>
        <w:spacing w:lineRule="auto" w:line="360" w:before="0" w:after="0"/>
        <w:ind w:firstLine="1134"/>
        <w:jc w:val="both"/>
        <w:rPr>
          <w:rFonts w:ascii="Times New Roman" w:hAnsi="Times New Roman" w:cs="Times New Roman"/>
          <w:sz w:val="24"/>
          <w:szCs w:val="24"/>
        </w:rPr>
      </w:pPr>
      <w:bookmarkStart w:id="50" w:name="_Hlk156987158"/>
      <w:r>
        <w:rPr>
          <w:rFonts w:cs="Times New Roman" w:ascii="Times New Roman" w:hAnsi="Times New Roman"/>
          <w:sz w:val="24"/>
        </w:rPr>
        <w:t>Acredita-se que a trinca longitudinal em aço peritético, seja iniciada na região do menisco da casca e parece estar relacionada a da taxa de transferência de calor da pele, ou seja, fluxo de calor horizontal</w:t>
      </w:r>
      <w:r>
        <w:rPr>
          <w:rFonts w:cs="Times New Roman" w:ascii="Times New Roman" w:hAnsi="Times New Roman"/>
          <w:sz w:val="24"/>
          <w:szCs w:val="24"/>
        </w:rPr>
        <w:t xml:space="preserve"> (Klug et al. ,2023</w:t>
      </w:r>
      <w:bookmarkEnd w:id="50"/>
      <w:r>
        <w:rPr>
          <w:rFonts w:cs="Times New Roman" w:ascii="Times New Roman" w:hAnsi="Times New Roman"/>
          <w:sz w:val="24"/>
          <w:szCs w:val="24"/>
        </w:rPr>
        <w:t>).</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 xml:space="preserve">Os pós fluxantes que tendem a cristalizar, proporcionam menor transferência de calor horizontal no molde. De acordo com </w:t>
      </w:r>
      <w:bookmarkStart w:id="51" w:name="_Hlk156987204"/>
      <w:r>
        <w:rPr>
          <w:rFonts w:cs="Times New Roman" w:ascii="Times New Roman" w:hAnsi="Times New Roman"/>
          <w:sz w:val="24"/>
        </w:rPr>
        <w:t>Long (2017</w:t>
      </w:r>
      <w:bookmarkEnd w:id="51"/>
      <w:r>
        <w:rPr>
          <w:rFonts w:cs="Times New Roman" w:ascii="Times New Roman" w:hAnsi="Times New Roman"/>
          <w:sz w:val="24"/>
        </w:rPr>
        <w:t>), atualmente, o uso de pós fluxantes com tais características tem sido a abordagem mais eficiente para diminuir o fluxo de calor horizontal na produção comercial de aços peritéticos.</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rPr>
          <w:rFonts w:ascii="Times New Roman" w:hAnsi="Times New Roman"/>
          <w:b/>
          <w:b/>
          <w:sz w:val="24"/>
          <w:szCs w:val="24"/>
        </w:rPr>
      </w:pPr>
      <w:r>
        <w:rPr>
          <w:rFonts w:ascii="Times New Roman" w:hAnsi="Times New Roman"/>
          <w:b/>
          <w:sz w:val="24"/>
          <w:szCs w:val="24"/>
        </w:rPr>
        <w:t>3.4 Pós fluxantes</w:t>
      </w:r>
      <w:bookmarkStart w:id="52" w:name="_Hlk156918073"/>
      <w:bookmarkEnd w:id="52"/>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 xml:space="preserve">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rPr>
        <w:t xml:space="preserve">Os pós fluxantes são escórias sintéticas que possuem duas funções principais durante o lingotamento contínuo de aço, a lubrificação e o controle da taxa de transferência de calor horizontal no molde. Essas funções são fortemente dependentes do comportamento de </w:t>
      </w:r>
      <w:r>
        <w:rPr>
          <w:rFonts w:cs="Times New Roman" w:ascii="Times New Roman" w:hAnsi="Times New Roman"/>
          <w:sz w:val="24"/>
          <w:szCs w:val="24"/>
        </w:rPr>
        <w:t>cristalização do pó fluxante no molde (Klug et al., 2013).</w:t>
      </w:r>
    </w:p>
    <w:p>
      <w:pPr>
        <w:pStyle w:val="Corpodetexto"/>
        <w:spacing w:lineRule="auto" w:line="360" w:before="1" w:after="0"/>
        <w:ind w:right="107" w:firstLine="1134"/>
        <w:jc w:val="both"/>
        <w:rPr>
          <w:rFonts w:ascii="Times New Roman" w:hAnsi="Times New Roman" w:cs="Times New Roman"/>
          <w:sz w:val="24"/>
        </w:rPr>
      </w:pPr>
      <w:r>
        <w:rPr>
          <w:rFonts w:cs="Times New Roman" w:ascii="Times New Roman" w:hAnsi="Times New Roman"/>
          <w:sz w:val="24"/>
        </w:rPr>
        <w:t>Os</w:t>
      </w:r>
      <w:r>
        <w:rPr>
          <w:rFonts w:cs="Times New Roman" w:ascii="Times New Roman" w:hAnsi="Times New Roman"/>
          <w:spacing w:val="1"/>
          <w:sz w:val="24"/>
        </w:rPr>
        <w:t xml:space="preserve"> </w:t>
      </w:r>
      <w:r>
        <w:rPr>
          <w:rFonts w:cs="Times New Roman" w:ascii="Times New Roman" w:hAnsi="Times New Roman"/>
          <w:sz w:val="24"/>
        </w:rPr>
        <w:t>pós</w:t>
      </w:r>
      <w:r>
        <w:rPr>
          <w:rFonts w:cs="Times New Roman" w:ascii="Times New Roman" w:hAnsi="Times New Roman"/>
          <w:spacing w:val="1"/>
          <w:sz w:val="24"/>
        </w:rPr>
        <w:t xml:space="preserve"> </w:t>
      </w:r>
      <w:r>
        <w:rPr>
          <w:rFonts w:cs="Times New Roman" w:ascii="Times New Roman" w:hAnsi="Times New Roman"/>
          <w:sz w:val="24"/>
        </w:rPr>
        <w:t xml:space="preserve">fluxantes </w:t>
      </w:r>
      <w:r>
        <w:rPr>
          <w:rFonts w:cs="Times New Roman" w:ascii="Times New Roman" w:hAnsi="Times New Roman"/>
          <w:spacing w:val="-1"/>
          <w:sz w:val="24"/>
        </w:rPr>
        <w:t>melhoram</w:t>
      </w:r>
      <w:r>
        <w:rPr>
          <w:rFonts w:cs="Times New Roman" w:ascii="Times New Roman" w:hAnsi="Times New Roman"/>
          <w:spacing w:val="-7"/>
          <w:sz w:val="24"/>
        </w:rPr>
        <w:t xml:space="preserve"> </w:t>
      </w:r>
      <w:r>
        <w:rPr>
          <w:rFonts w:cs="Times New Roman" w:ascii="Times New Roman" w:hAnsi="Times New Roman"/>
          <w:sz w:val="24"/>
        </w:rPr>
        <w:t>a</w:t>
      </w:r>
      <w:r>
        <w:rPr>
          <w:rFonts w:cs="Times New Roman" w:ascii="Times New Roman" w:hAnsi="Times New Roman"/>
          <w:spacing w:val="-11"/>
          <w:sz w:val="24"/>
        </w:rPr>
        <w:t xml:space="preserve"> </w:t>
      </w:r>
      <w:r>
        <w:rPr>
          <w:rFonts w:cs="Times New Roman" w:ascii="Times New Roman" w:hAnsi="Times New Roman"/>
          <w:sz w:val="24"/>
        </w:rPr>
        <w:t>qualidade</w:t>
      </w:r>
      <w:r>
        <w:rPr>
          <w:rFonts w:cs="Times New Roman" w:ascii="Times New Roman" w:hAnsi="Times New Roman"/>
          <w:spacing w:val="-15"/>
          <w:sz w:val="24"/>
        </w:rPr>
        <w:t xml:space="preserve"> </w:t>
      </w:r>
      <w:r>
        <w:rPr>
          <w:rFonts w:cs="Times New Roman" w:ascii="Times New Roman" w:hAnsi="Times New Roman"/>
          <w:sz w:val="24"/>
        </w:rPr>
        <w:t>do</w:t>
      </w:r>
      <w:r>
        <w:rPr>
          <w:rFonts w:cs="Times New Roman" w:ascii="Times New Roman" w:hAnsi="Times New Roman"/>
          <w:spacing w:val="-8"/>
          <w:sz w:val="24"/>
        </w:rPr>
        <w:t xml:space="preserve"> </w:t>
      </w:r>
      <w:r>
        <w:rPr>
          <w:rFonts w:cs="Times New Roman" w:ascii="Times New Roman" w:hAnsi="Times New Roman"/>
          <w:sz w:val="24"/>
        </w:rPr>
        <w:t>produto</w:t>
      </w:r>
      <w:r>
        <w:rPr>
          <w:rFonts w:cs="Times New Roman" w:ascii="Times New Roman" w:hAnsi="Times New Roman"/>
          <w:spacing w:val="-8"/>
          <w:sz w:val="24"/>
        </w:rPr>
        <w:t xml:space="preserve"> </w:t>
      </w:r>
      <w:r>
        <w:rPr>
          <w:rFonts w:cs="Times New Roman" w:ascii="Times New Roman" w:hAnsi="Times New Roman"/>
          <w:sz w:val="24"/>
        </w:rPr>
        <w:t>acabado,</w:t>
      </w:r>
      <w:r>
        <w:rPr>
          <w:rFonts w:cs="Times New Roman" w:ascii="Times New Roman" w:hAnsi="Times New Roman"/>
          <w:spacing w:val="-8"/>
          <w:sz w:val="24"/>
        </w:rPr>
        <w:t xml:space="preserve"> </w:t>
      </w:r>
      <w:r>
        <w:rPr>
          <w:rFonts w:cs="Times New Roman" w:ascii="Times New Roman" w:hAnsi="Times New Roman"/>
          <w:sz w:val="24"/>
        </w:rPr>
        <w:t>dificultando</w:t>
      </w:r>
      <w:r>
        <w:rPr>
          <w:rFonts w:cs="Times New Roman" w:ascii="Times New Roman" w:hAnsi="Times New Roman"/>
          <w:spacing w:val="-12"/>
          <w:sz w:val="24"/>
        </w:rPr>
        <w:t xml:space="preserve"> </w:t>
      </w:r>
      <w:r>
        <w:rPr>
          <w:rFonts w:cs="Times New Roman" w:ascii="Times New Roman" w:hAnsi="Times New Roman"/>
          <w:sz w:val="24"/>
        </w:rPr>
        <w:t>assim</w:t>
      </w:r>
      <w:r>
        <w:rPr>
          <w:rFonts w:cs="Times New Roman" w:ascii="Times New Roman" w:hAnsi="Times New Roman"/>
          <w:spacing w:val="-7"/>
          <w:sz w:val="24"/>
        </w:rPr>
        <w:t xml:space="preserve"> </w:t>
      </w:r>
      <w:r>
        <w:rPr>
          <w:rFonts w:cs="Times New Roman" w:ascii="Times New Roman" w:hAnsi="Times New Roman"/>
          <w:sz w:val="24"/>
        </w:rPr>
        <w:t>o</w:t>
      </w:r>
      <w:r>
        <w:rPr>
          <w:rFonts w:cs="Times New Roman" w:ascii="Times New Roman" w:hAnsi="Times New Roman"/>
          <w:spacing w:val="-8"/>
          <w:sz w:val="24"/>
        </w:rPr>
        <w:t xml:space="preserve"> </w:t>
      </w:r>
      <w:r>
        <w:rPr>
          <w:rFonts w:cs="Times New Roman" w:ascii="Times New Roman" w:hAnsi="Times New Roman"/>
          <w:sz w:val="24"/>
        </w:rPr>
        <w:t xml:space="preserve">surgimento de defeitos tais como trincas longitudinais e </w:t>
      </w:r>
      <w:r>
        <w:rPr>
          <w:rFonts w:cs="Times New Roman" w:ascii="Times New Roman" w:hAnsi="Times New Roman"/>
          <w:i/>
          <w:sz w:val="24"/>
        </w:rPr>
        <w:t xml:space="preserve">breakouts </w:t>
      </w:r>
      <w:r>
        <w:rPr>
          <w:rFonts w:cs="Times New Roman" w:ascii="Times New Roman" w:hAnsi="Times New Roman"/>
          <w:sz w:val="24"/>
        </w:rPr>
        <w:t>(ruptura da casca sólida do aço em</w:t>
      </w:r>
      <w:r>
        <w:rPr>
          <w:rFonts w:cs="Times New Roman" w:ascii="Times New Roman" w:hAnsi="Times New Roman"/>
          <w:spacing w:val="1"/>
          <w:sz w:val="24"/>
        </w:rPr>
        <w:t xml:space="preserve"> </w:t>
      </w:r>
      <w:r>
        <w:rPr>
          <w:rFonts w:cs="Times New Roman" w:ascii="Times New Roman" w:hAnsi="Times New Roman"/>
          <w:sz w:val="24"/>
        </w:rPr>
        <w:t xml:space="preserve">formação) causadas tanto pelo excesso de aderência quanto pelo fluxo de calor horizontal descontrolado entre o molde e a casca de aço. (Klug, 2012)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No molde, os pós fluxantes na fase sólida, são alimentados, de forma manual ou automática, sobre uma “piscina’’ de aço fundido durante o lingotamento contínuo. O pó fluxante funde devido à alta temperatura do aço e o líquido infiltra-se, devido ao movimento oscilatório do molde, no espaço entre a parede do molde de cobre, refrigerado à água, e a superfície da casca sólida do aço em formação. (</w:t>
      </w:r>
      <w:bookmarkStart w:id="53" w:name="_Hlk156987323"/>
      <w:r>
        <w:rPr>
          <w:rFonts w:cs="Times New Roman" w:ascii="Times New Roman" w:hAnsi="Times New Roman"/>
          <w:sz w:val="24"/>
          <w:szCs w:val="24"/>
        </w:rPr>
        <w:t>Pinheiro, 1994</w:t>
      </w:r>
      <w:bookmarkEnd w:id="53"/>
      <w:r>
        <w:rPr>
          <w:rFonts w:cs="Times New Roman" w:ascii="Times New Roman" w:hAnsi="Times New Roman"/>
          <w:sz w:val="24"/>
          <w:szCs w:val="24"/>
        </w:rPr>
        <w:t>).</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Quando o pó fluxante fundido penetra na interface placa/molde, ele estará submetido às baixas temperaturas do molde de cobre (180°C a 208ºC) e às altas temperaturas da pele de aço (aproximadamente 1350ºC) (Oliveira, 2009). </w:t>
      </w:r>
    </w:p>
    <w:p>
      <w:pPr>
        <w:pStyle w:val="Normal"/>
        <w:spacing w:lineRule="auto" w:line="360" w:before="0" w:after="0"/>
        <w:ind w:firstLine="1134"/>
        <w:jc w:val="both"/>
        <w:rPr>
          <w:rFonts w:ascii="Times New Roman" w:hAnsi="Times New Roman" w:cs="Times New Roman"/>
          <w:sz w:val="24"/>
          <w:szCs w:val="24"/>
          <w:highlight w:val="white"/>
        </w:rPr>
      </w:pPr>
      <w:r>
        <w:rPr>
          <w:rFonts w:ascii="Times New Roman" w:hAnsi="Times New Roman"/>
          <w:sz w:val="24"/>
          <w:szCs w:val="24"/>
        </w:rPr>
        <w:t>Normalmente, uma camada mínima de 20-25 mm de pó fluxante sólido deve ser mantida durante toda a operação, adicionando-se o pó em pequenas quantidades quando necessário (Garcia et al., 2006).</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figura 12 ilustra o corte longitudinal do molde, onde o pó fluxante é distribuído sobre o aço líquido na forma de diferentes camadas.</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1418" w:hanging="0"/>
        <w:jc w:val="both"/>
        <w:rPr>
          <w:rFonts w:ascii="Times New Roman" w:hAnsi="Times New Roman" w:cs="Times New Roman"/>
          <w:sz w:val="24"/>
          <w:szCs w:val="24"/>
        </w:rPr>
      </w:pPr>
      <w:r>
        <w:rPr>
          <w:rFonts w:cs="Times New Roman" w:ascii="Times New Roman" w:hAnsi="Times New Roman"/>
          <w:sz w:val="24"/>
          <w:szCs w:val="24"/>
        </w:rPr>
        <w:t>Figura 12 - Camadas do pó fluxante no molde de cobre.</w:t>
      </w:r>
      <w:bookmarkStart w:id="54" w:name="_Hlk156893345"/>
      <w:bookmarkEnd w:id="54"/>
    </w:p>
    <w:p>
      <w:pPr>
        <w:pStyle w:val="Normal"/>
        <w:spacing w:lineRule="auto" w:line="360" w:before="0" w:after="0"/>
        <w:jc w:val="center"/>
        <w:rPr>
          <w:rFonts w:ascii="Times New Roman" w:hAnsi="Times New Roman" w:cs="Times New Roman"/>
          <w:sz w:val="24"/>
          <w:szCs w:val="24"/>
        </w:rPr>
      </w:pPr>
      <w:r>
        <w:rPr/>
        <w:drawing>
          <wp:inline distT="0" distB="0" distL="0" distR="6350">
            <wp:extent cx="3841750" cy="1944370"/>
            <wp:effectExtent l="0" t="0" r="0" b="0"/>
            <wp:docPr id="20" name="Imagem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5" descr=""/>
                    <pic:cNvPicPr>
                      <a:picLocks noChangeAspect="1" noChangeArrowheads="1"/>
                    </pic:cNvPicPr>
                  </pic:nvPicPr>
                  <pic:blipFill>
                    <a:blip r:embed="rId16"/>
                    <a:srcRect l="0" t="8647" r="1604" b="6543"/>
                    <a:stretch>
                      <a:fillRect/>
                    </a:stretch>
                  </pic:blipFill>
                  <pic:spPr bwMode="auto">
                    <a:xfrm>
                      <a:off x="0" y="0"/>
                      <a:ext cx="3841750" cy="1944370"/>
                    </a:xfrm>
                    <a:prstGeom prst="rect">
                      <a:avLst/>
                    </a:prstGeom>
                  </pic:spPr>
                </pic:pic>
              </a:graphicData>
            </a:graphic>
          </wp:inline>
        </w:drawing>
      </w:r>
    </w:p>
    <w:p>
      <w:pPr>
        <w:pStyle w:val="Default"/>
        <w:ind w:left="1418" w:hanging="0"/>
        <w:jc w:val="both"/>
        <w:rPr>
          <w:sz w:val="20"/>
          <w:szCs w:val="20"/>
        </w:rPr>
      </w:pPr>
      <w:r>
        <w:rPr>
          <w:sz w:val="20"/>
          <w:szCs w:val="20"/>
        </w:rPr>
        <w:t xml:space="preserve">Fonte: </w:t>
      </w:r>
      <w:bookmarkStart w:id="55" w:name="_Hlk156987373"/>
      <w:r>
        <w:rPr>
          <w:sz w:val="20"/>
          <w:szCs w:val="20"/>
        </w:rPr>
        <w:t>MEDEIROS (2019</w:t>
      </w:r>
      <w:bookmarkEnd w:id="55"/>
      <w:r>
        <w:rPr>
          <w:sz w:val="20"/>
          <w:szCs w:val="20"/>
        </w:rPr>
        <w:t>).]</w:t>
      </w:r>
    </w:p>
    <w:p>
      <w:pPr>
        <w:pStyle w:val="Default"/>
        <w:ind w:left="1418" w:hanging="0"/>
        <w:jc w:val="both"/>
        <w:rPr>
          <w:sz w:val="20"/>
          <w:szCs w:val="20"/>
        </w:rPr>
      </w:pPr>
      <w:r>
        <w:rPr>
          <w:sz w:val="20"/>
          <w:szCs w:val="20"/>
        </w:rPr>
      </w:r>
    </w:p>
    <w:p>
      <w:pPr>
        <w:pStyle w:val="Default"/>
        <w:ind w:left="284" w:hanging="0"/>
        <w:jc w:val="both"/>
        <w:rPr>
          <w:sz w:val="20"/>
          <w:szCs w:val="20"/>
        </w:rPr>
      </w:pPr>
      <w:r>
        <w:rPr>
          <w:sz w:val="20"/>
          <w:szCs w:val="20"/>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Segundo Rizzo (2006), a camada mais externa (na superfície) é caracterizada por uma cor escura de material não fundido, composta por pó fluxante não reagido. Na segunda camada, localizada no centro, ocorre a aglomeração de grãos do pó (sinterização). A terceira camada, que fica em contato direto com a superfície do metal, é caracterizada pela presença de pó fluxante líquido, fundido devido a elevada temperatura na região.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camada escura do pó fluxante não reagido reduz a perda térmica na superfície, evitando desta forma, a formação de uma crosta de aço solidificado na região do menisco no molde. Em geral, pós fluxantes com granulometria mais fina e alto teor de carbono resultam nos melhores isolantes térmicos (Rizzo, 2006).</w:t>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4"/>
          <w:szCs w:val="23"/>
        </w:rPr>
        <w:t>A região ocupada pelo pó fluxante consiste em um filme sólido que está em contato direto com a parede do molde de cobre e um filme líquido em contato direto com a casca de aço solidificado (Medeiros, 2019).</w:t>
      </w:r>
    </w:p>
    <w:p>
      <w:pPr>
        <w:pStyle w:val="Normal"/>
        <w:spacing w:lineRule="auto" w:line="360" w:before="0" w:after="0"/>
        <w:jc w:val="both"/>
        <w:rPr>
          <w:rFonts w:ascii="Times New Roman" w:hAnsi="Times New Roman" w:cs="Times New Roman"/>
          <w:b/>
          <w:b/>
          <w:i/>
          <w:i/>
          <w:sz w:val="24"/>
          <w:szCs w:val="24"/>
        </w:rPr>
      </w:pPr>
      <w:r>
        <w:rPr>
          <w:rFonts w:cs="Times New Roman" w:ascii="Times New Roman" w:hAnsi="Times New Roman"/>
          <w:b/>
          <w:i/>
          <w:sz w:val="24"/>
          <w:szCs w:val="24"/>
        </w:rPr>
      </w:r>
    </w:p>
    <w:p>
      <w:pPr>
        <w:pStyle w:val="Normal"/>
        <w:spacing w:lineRule="auto" w:line="360" w:before="0" w:after="0"/>
        <w:jc w:val="both"/>
        <w:rPr>
          <w:rFonts w:ascii="Times New Roman" w:hAnsi="Times New Roman" w:cs="Times New Roman"/>
          <w:b/>
          <w:b/>
          <w:i/>
          <w:i/>
          <w:sz w:val="24"/>
          <w:szCs w:val="24"/>
        </w:rPr>
      </w:pPr>
      <w:r>
        <w:rPr>
          <w:rFonts w:cs="Times New Roman" w:ascii="Times New Roman" w:hAnsi="Times New Roman"/>
          <w:b/>
          <w:i/>
          <w:sz w:val="24"/>
          <w:szCs w:val="24"/>
        </w:rPr>
        <w:t>3.4.1 Funções do pó fluxante</w:t>
      </w:r>
      <w:bookmarkStart w:id="56" w:name="_Hlk156918145"/>
      <w:bookmarkEnd w:id="56"/>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Conforme Rizzo (2006), a utilização do pó fluxante ideal pode:</w:t>
      </w:r>
    </w:p>
    <w:p>
      <w:pPr>
        <w:pStyle w:val="ListParagraph"/>
        <w:numPr>
          <w:ilvl w:val="0"/>
          <w:numId w:val="2"/>
        </w:numPr>
        <w:spacing w:lineRule="auto" w:line="360" w:before="0" w:after="0"/>
        <w:ind w:left="1134" w:hanging="0"/>
        <w:contextualSpacing/>
        <w:jc w:val="both"/>
        <w:rPr>
          <w:rFonts w:ascii="Times New Roman" w:hAnsi="Times New Roman"/>
          <w:sz w:val="24"/>
          <w:szCs w:val="24"/>
        </w:rPr>
      </w:pPr>
      <w:r>
        <w:rPr>
          <w:rFonts w:ascii="Times New Roman" w:hAnsi="Times New Roman"/>
          <w:sz w:val="24"/>
          <w:szCs w:val="24"/>
        </w:rPr>
        <w:t xml:space="preserve">Evitar a aderência do tarugo ao molde, que leva ao </w:t>
      </w:r>
      <w:r>
        <w:rPr>
          <w:rFonts w:ascii="Times New Roman" w:hAnsi="Times New Roman"/>
          <w:i/>
          <w:sz w:val="24"/>
          <w:szCs w:val="24"/>
        </w:rPr>
        <w:t>breakout</w:t>
      </w:r>
      <w:r>
        <w:rPr>
          <w:rFonts w:ascii="Times New Roman" w:hAnsi="Times New Roman"/>
          <w:sz w:val="24"/>
          <w:szCs w:val="24"/>
        </w:rPr>
        <w:t>.</w:t>
      </w:r>
    </w:p>
    <w:p>
      <w:pPr>
        <w:pStyle w:val="ListParagraph"/>
        <w:numPr>
          <w:ilvl w:val="0"/>
          <w:numId w:val="2"/>
        </w:numPr>
        <w:spacing w:lineRule="auto" w:line="360" w:before="0" w:after="0"/>
        <w:ind w:left="1134" w:hanging="0"/>
        <w:contextualSpacing/>
        <w:jc w:val="both"/>
        <w:rPr>
          <w:rFonts w:ascii="Times New Roman" w:hAnsi="Times New Roman"/>
          <w:sz w:val="24"/>
          <w:szCs w:val="24"/>
        </w:rPr>
      </w:pPr>
      <w:r>
        <w:rPr>
          <w:rFonts w:ascii="Times New Roman" w:hAnsi="Times New Roman"/>
          <w:sz w:val="24"/>
          <w:szCs w:val="24"/>
        </w:rPr>
        <w:t>Evitar defeitos superficiais como trincas longitudinais;</w:t>
      </w:r>
    </w:p>
    <w:p>
      <w:pPr>
        <w:pStyle w:val="ListParagraph"/>
        <w:numPr>
          <w:ilvl w:val="0"/>
          <w:numId w:val="2"/>
        </w:numPr>
        <w:spacing w:lineRule="auto" w:line="360" w:before="0" w:after="0"/>
        <w:ind w:left="1134" w:hanging="0"/>
        <w:contextualSpacing/>
        <w:jc w:val="both"/>
        <w:rPr>
          <w:rFonts w:ascii="Times New Roman" w:hAnsi="Times New Roman"/>
          <w:sz w:val="24"/>
          <w:szCs w:val="24"/>
        </w:rPr>
      </w:pPr>
      <w:r>
        <w:rPr>
          <w:rFonts w:ascii="Times New Roman" w:hAnsi="Times New Roman"/>
          <w:sz w:val="24"/>
          <w:szCs w:val="24"/>
        </w:rPr>
        <w:t>Melhorar a qualidade da superfície com a formação de marcas de oscilação uniformes e superficiais, e evitar fugas;</w:t>
      </w:r>
    </w:p>
    <w:p>
      <w:pPr>
        <w:pStyle w:val="ListParagraph"/>
        <w:numPr>
          <w:ilvl w:val="0"/>
          <w:numId w:val="2"/>
        </w:numPr>
        <w:spacing w:lineRule="auto" w:line="360" w:before="0" w:after="0"/>
        <w:ind w:left="1134" w:hanging="0"/>
        <w:contextualSpacing/>
        <w:jc w:val="both"/>
        <w:rPr>
          <w:rFonts w:ascii="Times New Roman" w:hAnsi="Times New Roman"/>
          <w:sz w:val="24"/>
          <w:szCs w:val="24"/>
        </w:rPr>
      </w:pPr>
      <w:r>
        <w:rPr>
          <w:rFonts w:ascii="Times New Roman" w:hAnsi="Times New Roman"/>
          <w:sz w:val="24"/>
          <w:szCs w:val="24"/>
        </w:rPr>
        <w:t>Permitir maior velocidade de lingotamento.</w:t>
      </w:r>
    </w:p>
    <w:p>
      <w:pPr>
        <w:pStyle w:val="Normal"/>
        <w:spacing w:lineRule="auto" w:line="360" w:before="0" w:after="0"/>
        <w:ind w:firstLine="1134"/>
        <w:jc w:val="both"/>
        <w:rPr>
          <w:rFonts w:ascii="Times New Roman" w:hAnsi="Times New Roman"/>
          <w:sz w:val="24"/>
          <w:szCs w:val="24"/>
        </w:rPr>
      </w:pPr>
      <w:r>
        <w:rPr>
          <w:rFonts w:ascii="Times New Roman" w:hAnsi="Times New Roman"/>
          <w:sz w:val="24"/>
          <w:szCs w:val="24"/>
        </w:rPr>
        <w:t>Para isso ele desempenha as seguintes funções: proteção do aço líquido contra a transferência de calor vertical e reoxidação, absorver inclusões, lubrificação e controle da transferência de calor horizontal do molde (</w:t>
      </w:r>
      <w:bookmarkStart w:id="57" w:name="_Hlk156987411"/>
      <w:r>
        <w:rPr>
          <w:rFonts w:ascii="Times New Roman" w:hAnsi="Times New Roman"/>
          <w:sz w:val="24"/>
          <w:szCs w:val="24"/>
        </w:rPr>
        <w:t>Pinheiro, 1995</w:t>
      </w:r>
      <w:bookmarkEnd w:id="57"/>
      <w:r>
        <w:rPr>
          <w:rFonts w:ascii="Times New Roman" w:hAnsi="Times New Roman"/>
          <w:sz w:val="24"/>
          <w:szCs w:val="24"/>
        </w:rPr>
        <w:t>).</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figura 13 m</w:t>
      </w:r>
      <w:r>
        <w:rPr>
          <w:rFonts w:cs="Times New Roman" w:ascii="Times New Roman" w:hAnsi="Times New Roman"/>
          <w:bCs/>
          <w:color w:val="111111"/>
          <w:sz w:val="24"/>
          <w:szCs w:val="24"/>
        </w:rPr>
        <w:t>ostra as respectivas localizações e funções do pó fluxante no molde de lingotamento contínuo</w:t>
      </w:r>
      <w:r>
        <w:rPr>
          <w:rFonts w:cs="Times New Roman" w:ascii="Times New Roman" w:hAnsi="Times New Roman"/>
          <w:sz w:val="24"/>
          <w:szCs w:val="24"/>
        </w:rPr>
        <w:t>.</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Ttulo1"/>
        <w:shd w:val="clear" w:color="auto" w:fill="FFFFFF"/>
        <w:spacing w:lineRule="auto" w:line="360" w:before="0" w:after="0"/>
        <w:ind w:left="1134" w:right="424" w:hanging="0"/>
        <w:jc w:val="both"/>
        <w:rPr>
          <w:rFonts w:cs="Times New Roman"/>
          <w:b w:val="false"/>
          <w:b w:val="false"/>
          <w:bCs w:val="false"/>
          <w:color w:val="111111"/>
          <w:sz w:val="24"/>
          <w:szCs w:val="24"/>
        </w:rPr>
      </w:pPr>
      <w:r>
        <w:rPr>
          <w:rFonts w:cs="Times New Roman"/>
          <w:b w:val="false"/>
          <w:bCs w:val="false"/>
          <w:color w:val="111111"/>
          <w:sz w:val="24"/>
          <w:szCs w:val="24"/>
        </w:rPr>
        <w:t>Figura 13 - Localização das funções do pó fluxante no molde.</w:t>
      </w:r>
      <w:bookmarkStart w:id="58" w:name="_Hlk151478274"/>
      <w:bookmarkEnd w:id="58"/>
    </w:p>
    <w:p>
      <w:pPr>
        <w:pStyle w:val="Normal"/>
        <w:spacing w:lineRule="auto" w:line="360" w:before="0" w:after="0"/>
        <w:ind w:left="1134" w:hanging="0"/>
        <w:jc w:val="both"/>
        <w:rPr>
          <w:rFonts w:ascii="Times New Roman" w:hAnsi="Times New Roman" w:cs="Times New Roman"/>
          <w:sz w:val="24"/>
          <w:szCs w:val="24"/>
        </w:rPr>
      </w:pPr>
      <w:r>
        <w:rPr/>
        <w:drawing>
          <wp:inline distT="0" distB="0" distL="0" distR="0">
            <wp:extent cx="4231005" cy="2040255"/>
            <wp:effectExtent l="0" t="0" r="0" b="0"/>
            <wp:docPr id="21" name="Imagem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7" descr=""/>
                    <pic:cNvPicPr>
                      <a:picLocks noChangeAspect="1" noChangeArrowheads="1"/>
                    </pic:cNvPicPr>
                  </pic:nvPicPr>
                  <pic:blipFill>
                    <a:blip r:embed="rId17"/>
                    <a:srcRect l="0" t="0" r="0" b="7730"/>
                    <a:stretch>
                      <a:fillRect/>
                    </a:stretch>
                  </pic:blipFill>
                  <pic:spPr bwMode="auto">
                    <a:xfrm>
                      <a:off x="0" y="0"/>
                      <a:ext cx="4231005" cy="2040255"/>
                    </a:xfrm>
                    <a:prstGeom prst="rect">
                      <a:avLst/>
                    </a:prstGeom>
                  </pic:spPr>
                </pic:pic>
              </a:graphicData>
            </a:graphic>
          </wp:inline>
        </w:drawing>
      </w:r>
    </w:p>
    <w:p>
      <w:pPr>
        <w:pStyle w:val="Corpodetexto"/>
        <w:spacing w:lineRule="auto" w:line="240" w:before="0" w:after="0"/>
        <w:ind w:left="1134" w:right="992" w:hanging="0"/>
        <w:jc w:val="both"/>
        <w:rPr>
          <w:rStyle w:val="LinkdaInternet"/>
          <w:rFonts w:ascii="Times New Roman" w:hAnsi="Times New Roman" w:eastAsia="SimSun" w:cs="Times New Roman"/>
          <w:color w:val="auto"/>
          <w:sz w:val="20"/>
          <w:szCs w:val="24"/>
        </w:rPr>
      </w:pPr>
      <w:r>
        <w:rPr>
          <w:rFonts w:eastAsia="SimSun" w:cs="Times New Roman" w:ascii="Times New Roman" w:hAnsi="Times New Roman"/>
          <w:sz w:val="20"/>
          <w:szCs w:val="24"/>
        </w:rPr>
        <w:t xml:space="preserve">Fonte: </w:t>
      </w:r>
      <w:bookmarkStart w:id="59" w:name="_Hlk156987426"/>
      <w:r>
        <w:rPr>
          <w:rFonts w:eastAsia="SimSun" w:cs="Times New Roman" w:ascii="Times New Roman" w:hAnsi="Times New Roman"/>
          <w:sz w:val="20"/>
          <w:szCs w:val="24"/>
        </w:rPr>
        <w:t>45° SEMINÁRIO DE ACIARIA INTERNACIONAL, RGS (2014).</w:t>
      </w:r>
      <w:bookmarkEnd w:id="59"/>
    </w:p>
    <w:p>
      <w:pPr>
        <w:pStyle w:val="ListParagraph"/>
        <w:numPr>
          <w:ilvl w:val="0"/>
          <w:numId w:val="6"/>
        </w:numPr>
        <w:spacing w:lineRule="auto" w:line="360" w:before="0" w:after="0"/>
        <w:contextualSpacing/>
        <w:jc w:val="both"/>
        <w:rPr>
          <w:rFonts w:ascii="Times New Roman" w:hAnsi="Times New Roman"/>
          <w:sz w:val="24"/>
          <w:szCs w:val="24"/>
        </w:rPr>
      </w:pPr>
      <w:r>
        <w:rPr>
          <w:rFonts w:ascii="Times New Roman" w:hAnsi="Times New Roman"/>
          <w:sz w:val="24"/>
          <w:szCs w:val="24"/>
        </w:rPr>
        <w:t>Proteção contra a transferência de calor vertical (superfície superior do aço líquido)</w:t>
      </w:r>
    </w:p>
    <w:p>
      <w:pPr>
        <w:pStyle w:val="ListParagraph"/>
        <w:numPr>
          <w:ilvl w:val="0"/>
          <w:numId w:val="6"/>
        </w:numPr>
        <w:spacing w:lineRule="auto" w:line="360" w:before="0" w:after="0"/>
        <w:contextualSpacing/>
        <w:jc w:val="both"/>
        <w:rPr>
          <w:rFonts w:ascii="Times New Roman" w:hAnsi="Times New Roman"/>
          <w:sz w:val="24"/>
          <w:szCs w:val="24"/>
        </w:rPr>
      </w:pPr>
      <w:r>
        <w:rPr>
          <w:rFonts w:ascii="Times New Roman" w:hAnsi="Times New Roman"/>
          <w:sz w:val="24"/>
          <w:szCs w:val="24"/>
        </w:rPr>
        <w:t>Proteger o aço líquido contra a reoxidação</w:t>
      </w:r>
    </w:p>
    <w:p>
      <w:pPr>
        <w:pStyle w:val="ListParagraph"/>
        <w:numPr>
          <w:ilvl w:val="0"/>
          <w:numId w:val="6"/>
        </w:numPr>
        <w:spacing w:lineRule="auto" w:line="360" w:before="0" w:after="0"/>
        <w:contextualSpacing/>
        <w:jc w:val="both"/>
        <w:rPr>
          <w:rFonts w:ascii="Times New Roman" w:hAnsi="Times New Roman"/>
          <w:sz w:val="24"/>
          <w:szCs w:val="24"/>
        </w:rPr>
      </w:pPr>
      <w:r>
        <w:rPr>
          <w:rFonts w:ascii="Times New Roman" w:hAnsi="Times New Roman"/>
          <w:sz w:val="24"/>
          <w:szCs w:val="24"/>
        </w:rPr>
        <w:t>Absorver inclusões que crescem para a superfície</w:t>
      </w:r>
    </w:p>
    <w:p>
      <w:pPr>
        <w:pStyle w:val="ListParagraph"/>
        <w:numPr>
          <w:ilvl w:val="0"/>
          <w:numId w:val="6"/>
        </w:numPr>
        <w:spacing w:lineRule="auto" w:line="360" w:before="0" w:after="0"/>
        <w:contextualSpacing/>
        <w:jc w:val="both"/>
        <w:rPr>
          <w:rFonts w:ascii="Times New Roman" w:hAnsi="Times New Roman"/>
          <w:sz w:val="24"/>
          <w:szCs w:val="24"/>
        </w:rPr>
      </w:pPr>
      <w:r>
        <w:rPr>
          <w:rFonts w:ascii="Times New Roman" w:hAnsi="Times New Roman"/>
          <w:sz w:val="24"/>
          <w:szCs w:val="24"/>
        </w:rPr>
        <w:t xml:space="preserve">Lubrificar a casca sólida de aço </w:t>
      </w:r>
    </w:p>
    <w:p>
      <w:pPr>
        <w:pStyle w:val="ListParagraph"/>
        <w:numPr>
          <w:ilvl w:val="0"/>
          <w:numId w:val="6"/>
        </w:numPr>
        <w:spacing w:lineRule="auto" w:line="360" w:before="240" w:after="0"/>
        <w:contextualSpacing/>
        <w:jc w:val="both"/>
        <w:rPr>
          <w:rFonts w:ascii="Times New Roman" w:hAnsi="Times New Roman"/>
          <w:sz w:val="24"/>
          <w:szCs w:val="24"/>
        </w:rPr>
      </w:pPr>
      <w:r>
        <w:rPr>
          <w:rFonts w:ascii="Times New Roman" w:hAnsi="Times New Roman"/>
          <w:sz w:val="24"/>
          <w:szCs w:val="24"/>
        </w:rPr>
        <w:t>Controle da taxa de transferência de calor horizontal (entre o molde e a casca de aço solidificado)</w:t>
      </w:r>
    </w:p>
    <w:p>
      <w:pPr>
        <w:pStyle w:val="Normal"/>
        <w:tabs>
          <w:tab w:val="left" w:pos="1095" w:leader="none"/>
        </w:tabs>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O principal fator que influencia o isolamento térmico superficial do aço líquido é a densidade do pó fluxante não reagido. O tipo de carbono usado como por exemplo, o negro de fumo de granulação fina e o grafite de granulação grossa e as condições físicas do pó fluxante também podem afetar as propriedades do isolamento. Melhorando o isolamento térmico superficial do menisco, a sua temperatura aumenta e faz com que as marcas de oscilação sejam menos severas e possam reduzir os defeitos subsuperficiais e aparecimento de porosidades abertas. (Pinheiro, 1995).</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No início do processo de lingotamento contínuo, o pó fluxante é adicionado no topo do molde. Conforme ele se move gradualmente para baixo, o carbono no pó reage com o ar presente para formar uma atmosfera redutora de CO(g) para proteger o aço fundido da oxidação (Mills; Fox, 2003).</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 xml:space="preserve">A escória, além de absorver, deve também dissolver as inclusões não metálicas que emergem para a interface pó/aço, mantendo a propriedade lubrificante na interface lingote/molde, segundo </w:t>
      </w:r>
      <w:r>
        <w:rPr>
          <w:rFonts w:cs="Times New Roman" w:ascii="Times New Roman" w:hAnsi="Times New Roman"/>
          <w:sz w:val="24"/>
          <w:szCs w:val="24"/>
        </w:rPr>
        <w:t>(Pinheiro, 1995).</w:t>
      </w:r>
    </w:p>
    <w:p>
      <w:pPr>
        <w:pStyle w:val="Normal"/>
        <w:spacing w:lineRule="auto" w:line="360" w:before="0" w:after="0"/>
        <w:ind w:firstLine="1134"/>
        <w:jc w:val="both"/>
        <w:rPr>
          <w:rFonts w:ascii="Times New Roman" w:hAnsi="Times New Roman" w:cs="Times New Roman"/>
          <w:sz w:val="32"/>
          <w:szCs w:val="24"/>
        </w:rPr>
      </w:pPr>
      <w:r>
        <w:rPr>
          <w:rFonts w:cs="Times New Roman" w:ascii="Times New Roman" w:hAnsi="Times New Roman"/>
          <w:sz w:val="24"/>
        </w:rPr>
        <w:t>Durante o lingotamento contínuo, o pó fluxante sofre alterações nas suas propriedades em consequência das reações químicas ocorridas com o aço líquido e com as inclusões não metálicas, que ficam flutuando na região do menisco (superfície do aço). Um tipo de inclusão comum no lingotamento é a alumina Al</w:t>
      </w:r>
      <w:r>
        <w:rPr>
          <w:rFonts w:cs="Times New Roman" w:ascii="Times New Roman" w:hAnsi="Times New Roman"/>
          <w:sz w:val="24"/>
          <w:vertAlign w:val="subscript"/>
        </w:rPr>
        <w:t>2</w:t>
      </w:r>
      <w:r>
        <w:rPr>
          <w:rFonts w:cs="Times New Roman" w:ascii="Times New Roman" w:hAnsi="Times New Roman"/>
          <w:sz w:val="24"/>
        </w:rPr>
        <w:t>O</w:t>
      </w:r>
      <w:r>
        <w:rPr>
          <w:rFonts w:cs="Times New Roman" w:ascii="Times New Roman" w:hAnsi="Times New Roman"/>
          <w:sz w:val="24"/>
          <w:vertAlign w:val="subscript"/>
        </w:rPr>
        <w:t>3</w:t>
      </w:r>
      <w:r>
        <w:rPr>
          <w:rFonts w:cs="Times New Roman" w:ascii="Times New Roman" w:hAnsi="Times New Roman"/>
          <w:sz w:val="24"/>
        </w:rPr>
        <w:t>, gerada a partir dos aços desoxidados ao alumínio e ao silício (</w:t>
      </w:r>
      <w:bookmarkStart w:id="60" w:name="_Hlk156987447"/>
      <w:r>
        <w:rPr>
          <w:rFonts w:cs="Times New Roman" w:ascii="Times New Roman" w:hAnsi="Times New Roman"/>
          <w:sz w:val="24"/>
        </w:rPr>
        <w:t>Lin e Chung, 1992</w:t>
      </w:r>
      <w:bookmarkEnd w:id="60"/>
      <w:r>
        <w:rPr>
          <w:rFonts w:cs="Times New Roman" w:ascii="Times New Roman" w:hAnsi="Times New Roman"/>
          <w:sz w:val="24"/>
        </w:rPr>
        <w:t>).</w:t>
      </w:r>
    </w:p>
    <w:p>
      <w:pPr>
        <w:pStyle w:val="Corpodetexto"/>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rPr>
        <w:t>É essencial que o molde seja lubrificado por toda parte, reduzindo o atrito nessa interface de contato. Não fazer isso, pode levar a uma variedade de problemas, como defeitos no lingote e o rompimento da casca sólida do aço (</w:t>
      </w:r>
      <w:r>
        <w:rPr>
          <w:rFonts w:cs="Times New Roman" w:ascii="Times New Roman" w:hAnsi="Times New Roman"/>
          <w:i/>
          <w:sz w:val="24"/>
        </w:rPr>
        <w:t>breakout</w:t>
      </w:r>
      <w:r>
        <w:rPr>
          <w:rFonts w:cs="Times New Roman" w:ascii="Times New Roman" w:hAnsi="Times New Roman"/>
          <w:sz w:val="24"/>
        </w:rPr>
        <w:t>). A formação desse filme lubrificante</w:t>
      </w:r>
      <w:r>
        <w:rPr>
          <w:rFonts w:cs="Times New Roman" w:ascii="Times New Roman" w:hAnsi="Times New Roman"/>
          <w:sz w:val="24"/>
          <w:szCs w:val="24"/>
        </w:rPr>
        <w:t xml:space="preserve"> resfriado reduz o atrito que ocorre nessa interface de contato (</w:t>
      </w:r>
      <w:bookmarkStart w:id="61" w:name="_Hlk156987455"/>
      <w:r>
        <w:rPr>
          <w:rFonts w:cs="Times New Roman" w:ascii="Times New Roman" w:hAnsi="Times New Roman"/>
          <w:sz w:val="24"/>
        </w:rPr>
        <w:t xml:space="preserve">Mills, 2003 e </w:t>
      </w:r>
      <w:r>
        <w:rPr>
          <w:rFonts w:cs="Times New Roman" w:ascii="Times New Roman" w:hAnsi="Times New Roman"/>
          <w:sz w:val="24"/>
          <w:szCs w:val="24"/>
        </w:rPr>
        <w:t>Moore, 1991</w:t>
      </w:r>
      <w:bookmarkEnd w:id="61"/>
      <w:r>
        <w:rPr>
          <w:rFonts w:cs="Times New Roman" w:ascii="Times New Roman" w:hAnsi="Times New Roman"/>
          <w:sz w:val="24"/>
          <w:szCs w:val="24"/>
        </w:rPr>
        <w:t>).</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A transferência de calor horizontal, juntamente com a lubrificação, pode ser classificada como funções críticas dos pós fluxantes. Uma extração de calor muito severa pode gerar tensões térmicas, dando origem a trincas longitudinais. Já uma extração de calor insuficiente pode formar uma casca solidificada muito fina, sendo propensa ao abaulamento e ao </w:t>
      </w:r>
      <w:r>
        <w:rPr>
          <w:rFonts w:cs="Times New Roman" w:ascii="Times New Roman" w:hAnsi="Times New Roman"/>
          <w:i/>
          <w:iCs/>
          <w:sz w:val="24"/>
          <w:szCs w:val="24"/>
        </w:rPr>
        <w:t xml:space="preserve">breakout </w:t>
      </w:r>
      <w:r>
        <w:rPr>
          <w:rFonts w:cs="Times New Roman" w:ascii="Times New Roman" w:hAnsi="Times New Roman"/>
          <w:sz w:val="24"/>
          <w:szCs w:val="24"/>
        </w:rPr>
        <w:t>(Pinheiro, 1995).</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transmissão de calor horizontal no molde, através da escória, está diretamente relacionada à espessura e à condutividade das camadas, que por sua vez dependem de seu perfil de velocidade, temperatura de cristalização, viscosidade e estado (vítreo, cristalino ou líquido). A condutividade térmica da escória depende diretamente de sua cristalinidade (</w:t>
      </w:r>
      <w:bookmarkStart w:id="62" w:name="_Hlk156987465"/>
      <w:r>
        <w:rPr>
          <w:rFonts w:cs="Times New Roman" w:ascii="Times New Roman" w:hAnsi="Times New Roman"/>
          <w:sz w:val="24"/>
          <w:szCs w:val="24"/>
        </w:rPr>
        <w:t>Meng e Thomas, 2003</w:t>
      </w:r>
      <w:bookmarkEnd w:id="62"/>
      <w:r>
        <w:rPr>
          <w:rFonts w:cs="Times New Roman" w:ascii="Times New Roman" w:hAnsi="Times New Roman"/>
          <w:sz w:val="24"/>
          <w:szCs w:val="24"/>
        </w:rPr>
        <w:t>).</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Como o pó fluxante tem a característica de formar vidros, ele formará inicialmente uma fina camada vítrea nas proximidades do molde e uma camada líquida em contato com a placa. Com o tempo, as fases cristalinas irão nuclear no vidro e crescerão a partir do líquido (Oliveira, 2009).</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figura 14 ilustra o mecanismo de formação das fases (a) e a micrografia (b) em um pó fluxante retirado na interface placa/molde de lingotamento contínuo de placas.</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284" w:hanging="0"/>
        <w:jc w:val="both"/>
        <w:rPr>
          <w:rFonts w:ascii="Times New Roman" w:hAnsi="Times New Roman" w:cs="Times New Roman"/>
          <w:sz w:val="24"/>
          <w:szCs w:val="24"/>
        </w:rPr>
      </w:pPr>
      <w:bookmarkStart w:id="63" w:name="_Hlk156893393"/>
      <w:r>
        <w:rPr>
          <w:rFonts w:cs="Times New Roman" w:ascii="Times New Roman" w:hAnsi="Times New Roman"/>
          <w:sz w:val="24"/>
          <w:szCs w:val="24"/>
        </w:rPr>
        <w:t>Figura 14 - Cristalização (a) e micrografia (b) de um pó fluxante solidificado.</w:t>
      </w:r>
      <w:bookmarkStart w:id="64" w:name="_Hlk151478377"/>
      <w:bookmarkEnd w:id="63"/>
      <w:bookmarkEnd w:id="64"/>
    </w:p>
    <w:p>
      <w:pPr>
        <w:pStyle w:val="Normal"/>
        <w:spacing w:lineRule="auto" w:line="360" w:before="0" w:after="0"/>
        <w:jc w:val="center"/>
        <w:rPr>
          <w:rFonts w:ascii="Times New Roman" w:hAnsi="Times New Roman" w:cs="Times New Roman"/>
          <w:color w:val="FF0000"/>
          <w:sz w:val="24"/>
          <w:szCs w:val="24"/>
        </w:rPr>
      </w:pPr>
      <w:r>
        <w:rPr/>
        <w:drawing>
          <wp:inline distT="0" distB="0" distL="0" distR="0">
            <wp:extent cx="5200650" cy="2465070"/>
            <wp:effectExtent l="0" t="0" r="0" b="0"/>
            <wp:docPr id="22"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5" descr=""/>
                    <pic:cNvPicPr>
                      <a:picLocks noChangeAspect="1" noChangeArrowheads="1"/>
                    </pic:cNvPicPr>
                  </pic:nvPicPr>
                  <pic:blipFill>
                    <a:blip r:embed="rId18"/>
                    <a:srcRect l="26246" t="42254" r="15403" b="7995"/>
                    <a:stretch>
                      <a:fillRect/>
                    </a:stretch>
                  </pic:blipFill>
                  <pic:spPr bwMode="auto">
                    <a:xfrm>
                      <a:off x="0" y="0"/>
                      <a:ext cx="5200650" cy="2465070"/>
                    </a:xfrm>
                    <a:prstGeom prst="rect">
                      <a:avLst/>
                    </a:prstGeom>
                  </pic:spPr>
                </pic:pic>
              </a:graphicData>
            </a:graphic>
          </wp:inline>
        </w:drawing>
      </w:r>
    </w:p>
    <w:p>
      <w:pPr>
        <w:pStyle w:val="Normal"/>
        <w:spacing w:lineRule="auto" w:line="360" w:before="0" w:after="0"/>
        <w:ind w:left="284" w:hanging="0"/>
        <w:jc w:val="both"/>
        <w:rPr>
          <w:rFonts w:ascii="Times New Roman" w:hAnsi="Times New Roman" w:cs="Times New Roman"/>
          <w:sz w:val="20"/>
          <w:szCs w:val="24"/>
        </w:rPr>
      </w:pPr>
      <w:r>
        <w:rPr>
          <w:rFonts w:cs="Times New Roman" w:ascii="Times New Roman" w:hAnsi="Times New Roman"/>
          <w:sz w:val="20"/>
          <w:szCs w:val="24"/>
        </w:rPr>
        <w:t>Fonte: OLIVEIRA (2009).</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4"/>
          <w:szCs w:val="23"/>
        </w:rPr>
        <w:t>A formação de uma fração de cristal significativa na película de pó fluxante entre o molde e o aço, reduz a taxa de transferência de calor e ajuda a aliviar os problemas associados às trincas longitudinais e a elevada frequência de “</w:t>
      </w:r>
      <w:r>
        <w:rPr>
          <w:rFonts w:cs="Times New Roman" w:ascii="Times New Roman" w:hAnsi="Times New Roman"/>
          <w:i/>
          <w:iCs/>
          <w:sz w:val="24"/>
          <w:szCs w:val="23"/>
        </w:rPr>
        <w:t>breakouts</w:t>
      </w:r>
      <w:r>
        <w:rPr>
          <w:rFonts w:cs="Times New Roman" w:ascii="Times New Roman" w:hAnsi="Times New Roman"/>
          <w:sz w:val="24"/>
          <w:szCs w:val="23"/>
        </w:rPr>
        <w:t>” (</w:t>
      </w:r>
      <w:bookmarkStart w:id="65" w:name="_Hlk156987487"/>
      <w:r>
        <w:rPr>
          <w:rFonts w:cs="Times New Roman" w:ascii="Times New Roman" w:hAnsi="Times New Roman"/>
          <w:sz w:val="24"/>
          <w:szCs w:val="23"/>
        </w:rPr>
        <w:t>Klug, 2012; Pinheiro; Samarasekera; Brimacombe, 1995</w:t>
      </w:r>
      <w:bookmarkEnd w:id="65"/>
      <w:r>
        <w:rPr>
          <w:rFonts w:cs="Times New Roman" w:ascii="Times New Roman" w:hAnsi="Times New Roman"/>
          <w:sz w:val="24"/>
          <w:szCs w:val="23"/>
        </w:rPr>
        <w:t>).</w:t>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t xml:space="preserve">Um bom entendimento e controle dos fenômenos que ocorrem no interior do molde de cobre durante a produção de aço é essencial para o sucesso do processo. As escórias usadas no molde são bastante importantes quando se considera os resultados do lingotamento, por exemplo, a qualidade do aço. Os pós fluxantes, em última análise, influenciam na rapidez com que é possível produzir o aço de boa qualidade e sem </w:t>
      </w:r>
      <w:r>
        <w:rPr>
          <w:rFonts w:cs="Times New Roman" w:ascii="Times New Roman" w:hAnsi="Times New Roman"/>
          <w:i/>
          <w:iCs/>
          <w:sz w:val="24"/>
          <w:szCs w:val="23"/>
        </w:rPr>
        <w:t xml:space="preserve">breakouts </w:t>
      </w:r>
      <w:r>
        <w:rPr>
          <w:rFonts w:cs="Times New Roman" w:ascii="Times New Roman" w:hAnsi="Times New Roman"/>
          <w:sz w:val="24"/>
          <w:szCs w:val="23"/>
        </w:rPr>
        <w:t xml:space="preserve">causadas pelo atrito com o molde. Durante o processo de lingotamento contínuo, a presença de cristais nas escórias de molde tem um efeito decisivo na </w:t>
      </w:r>
      <w:r>
        <w:rPr>
          <w:rFonts w:cs="Times New Roman" w:ascii="Times New Roman" w:hAnsi="Times New Roman"/>
          <w:bCs/>
          <w:iCs/>
          <w:sz w:val="24"/>
          <w:szCs w:val="23"/>
        </w:rPr>
        <w:t xml:space="preserve">lubrificação </w:t>
      </w:r>
      <w:r>
        <w:rPr>
          <w:rFonts w:cs="Times New Roman" w:ascii="Times New Roman" w:hAnsi="Times New Roman"/>
          <w:sz w:val="24"/>
          <w:szCs w:val="23"/>
        </w:rPr>
        <w:t xml:space="preserve">e na taxa de </w:t>
      </w:r>
      <w:r>
        <w:rPr>
          <w:rFonts w:cs="Times New Roman" w:ascii="Times New Roman" w:hAnsi="Times New Roman"/>
          <w:bCs/>
          <w:iCs/>
          <w:sz w:val="24"/>
          <w:szCs w:val="23"/>
        </w:rPr>
        <w:t xml:space="preserve">transferência horizontal </w:t>
      </w:r>
      <w:r>
        <w:rPr>
          <w:rFonts w:cs="Times New Roman" w:ascii="Times New Roman" w:hAnsi="Times New Roman"/>
          <w:sz w:val="24"/>
          <w:szCs w:val="23"/>
        </w:rPr>
        <w:t>de calor (Klug, 2012).</w:t>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t xml:space="preserve">Percebe- se então a importância de determinar a cinética de cristalização em pós fluxantes por ter uma relação direta com a transferência de calor horizontal no molde que, caso não seja adequada, provoca a formação de trincas longitudinais </w:t>
      </w:r>
      <w:r>
        <w:rPr>
          <w:rFonts w:cs="Times New Roman" w:ascii="Times New Roman" w:hAnsi="Times New Roman"/>
          <w:sz w:val="24"/>
        </w:rPr>
        <w:t xml:space="preserve">em aços peritéticos no processo de lingotamento contínuo. </w:t>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r>
    </w:p>
    <w:p>
      <w:pPr>
        <w:pStyle w:val="Default"/>
        <w:spacing w:lineRule="auto" w:line="360"/>
        <w:jc w:val="both"/>
        <w:rPr>
          <w:b/>
          <w:b/>
          <w:i/>
          <w:i/>
        </w:rPr>
      </w:pPr>
      <w:r>
        <w:rPr>
          <w:b/>
          <w:i/>
        </w:rPr>
        <w:t>3.4.2 Composição química</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Diferentes composições químicas influenciam diretamente em várias características dos pós fluxantes, tais como nas habilidades de cristalização e lubrificação.</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Os pós fluxantes são projetados com composição química variada especificamente para cada tipo de classes de aço e condições da planta de produção, dependendo assim das propriedades requeridas. Os pós fluxantes típicos contêm CaO-SiO</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-Al</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O</w:t>
      </w:r>
      <w:r>
        <w:rPr>
          <w:rFonts w:cs="Times New Roman" w:ascii="Times New Roman" w:hAnsi="Times New Roman"/>
          <w:color w:val="000000"/>
          <w:sz w:val="24"/>
          <w:szCs w:val="24"/>
          <w:vertAlign w:val="subscript"/>
        </w:rPr>
        <w:t>3</w:t>
      </w:r>
      <w:r>
        <w:rPr>
          <w:rFonts w:cs="Times New Roman" w:ascii="Times New Roman" w:hAnsi="Times New Roman"/>
          <w:color w:val="000000"/>
          <w:sz w:val="24"/>
          <w:szCs w:val="24"/>
        </w:rPr>
        <w:t>-Na</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O-CaF</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xml:space="preserve"> como constituintes principais </w:t>
      </w:r>
      <w:r>
        <w:rPr>
          <w:rFonts w:cs="Times New Roman" w:ascii="Times New Roman" w:hAnsi="Times New Roman"/>
          <w:sz w:val="24"/>
          <w:szCs w:val="24"/>
        </w:rPr>
        <w:t>(Pinheiro, 1994)</w:t>
      </w:r>
      <w:r>
        <w:rPr>
          <w:rFonts w:cs="Times New Roman" w:ascii="Times New Roman" w:hAnsi="Times New Roman"/>
          <w:color w:val="000000"/>
          <w:sz w:val="24"/>
          <w:szCs w:val="24"/>
        </w:rPr>
        <w:t xml:space="preserve">.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color w:val="000000"/>
          <w:sz w:val="24"/>
          <w:szCs w:val="24"/>
        </w:rPr>
        <w:t xml:space="preserve">A composição típica desses componentes em pós fluxantes </w:t>
      </w:r>
      <w:r>
        <w:rPr>
          <w:rFonts w:cs="Times New Roman" w:ascii="Times New Roman" w:hAnsi="Times New Roman"/>
          <w:sz w:val="24"/>
          <w:szCs w:val="24"/>
        </w:rPr>
        <w:t>convencionais é mostrada na Tabela 1.</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6866" w:leader="none"/>
        </w:tabs>
        <w:spacing w:lineRule="auto" w:line="360" w:before="0" w:after="0"/>
        <w:ind w:left="1134" w:hanging="0"/>
        <w:jc w:val="both"/>
        <w:rPr>
          <w:rFonts w:ascii="Times New Roman" w:hAnsi="Times New Roman" w:cs="Times New Roman"/>
          <w:sz w:val="24"/>
          <w:szCs w:val="24"/>
        </w:rPr>
      </w:pPr>
      <w:r>
        <w:rPr>
          <w:rFonts w:cs="Times New Roman" w:ascii="Times New Roman" w:hAnsi="Times New Roman"/>
          <w:sz w:val="24"/>
          <w:szCs w:val="24"/>
        </w:rPr>
        <w:t>Tabela 1 - Valores de composição para pós fluxantes típicos.</w:t>
      </w:r>
      <w:bookmarkStart w:id="66" w:name="_Hlk151476815"/>
      <w:bookmarkEnd w:id="66"/>
    </w:p>
    <w:tbl>
      <w:tblPr>
        <w:tblStyle w:val="TableNormal"/>
        <w:tblW w:w="6403" w:type="dxa"/>
        <w:jc w:val="center"/>
        <w:tblInd w:w="0" w:type="dxa"/>
        <w:tblBorders>
          <w:top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978"/>
        <w:gridCol w:w="19"/>
        <w:gridCol w:w="3406"/>
      </w:tblGrid>
      <w:tr>
        <w:trPr>
          <w:trHeight w:val="284" w:hRule="exact"/>
          <w:cantSplit w:val="true"/>
        </w:trPr>
        <w:tc>
          <w:tcPr>
            <w:tcW w:w="2978" w:type="dxa"/>
            <w:tcBorders>
              <w:top w:val="single" w:sz="4" w:space="0" w:color="000000"/>
              <w:bottom w:val="single" w:sz="4" w:space="0" w:color="000000"/>
              <w:insideH w:val="single" w:sz="4" w:space="0" w:color="000000"/>
            </w:tcBorders>
            <w:shd w:fill="auto" w:val="clear"/>
          </w:tcPr>
          <w:p>
            <w:pPr>
              <w:pStyle w:val="TableParagraph"/>
              <w:widowControl w:val="false"/>
              <w:spacing w:lineRule="auto" w:line="360" w:before="0" w:after="0"/>
              <w:rPr>
                <w:b/>
                <w:b/>
                <w:sz w:val="20"/>
                <w:szCs w:val="20"/>
              </w:rPr>
            </w:pPr>
            <w:r>
              <w:rPr>
                <w:b/>
                <w:sz w:val="20"/>
                <w:szCs w:val="20"/>
                <w:lang w:val="en-US"/>
              </w:rPr>
              <w:t>Constituinte</w:t>
            </w:r>
          </w:p>
        </w:tc>
        <w:tc>
          <w:tcPr>
            <w:tcW w:w="19" w:type="dxa"/>
            <w:tcBorders>
              <w:top w:val="single" w:sz="4" w:space="0" w:color="000000"/>
              <w:bottom w:val="single" w:sz="4" w:space="0" w:color="000000"/>
              <w:insideH w:val="single" w:sz="4" w:space="0" w:color="000000"/>
            </w:tcBorders>
            <w:shd w:fill="auto" w:val="clear"/>
          </w:tcPr>
          <w:p>
            <w:pPr>
              <w:pStyle w:val="TableParagraph"/>
              <w:widowControl w:val="false"/>
              <w:spacing w:lineRule="auto" w:line="360" w:before="0" w:after="0"/>
              <w:ind w:right="86" w:hanging="0"/>
              <w:rPr>
                <w:b/>
                <w:b/>
                <w:sz w:val="20"/>
                <w:szCs w:val="20"/>
                <w:lang w:val="en-US"/>
              </w:rPr>
            </w:pPr>
            <w:r>
              <w:rPr>
                <w:b/>
                <w:sz w:val="20"/>
                <w:szCs w:val="20"/>
                <w:lang w:val="en-US"/>
              </w:rPr>
            </w:r>
          </w:p>
        </w:tc>
        <w:tc>
          <w:tcPr>
            <w:tcW w:w="3406" w:type="dxa"/>
            <w:tcBorders>
              <w:top w:val="single" w:sz="4" w:space="0" w:color="000000"/>
              <w:bottom w:val="single" w:sz="4" w:space="0" w:color="000000"/>
              <w:insideH w:val="single" w:sz="4" w:space="0" w:color="000000"/>
            </w:tcBorders>
            <w:shd w:fill="auto" w:val="clear"/>
          </w:tcPr>
          <w:p>
            <w:pPr>
              <w:pStyle w:val="TableParagraph"/>
              <w:widowControl w:val="false"/>
              <w:spacing w:lineRule="auto" w:line="360" w:before="0" w:after="0"/>
              <w:ind w:right="86" w:hanging="0"/>
              <w:rPr>
                <w:b/>
                <w:b/>
                <w:sz w:val="20"/>
                <w:szCs w:val="20"/>
              </w:rPr>
            </w:pPr>
            <w:r>
              <w:rPr>
                <w:b/>
                <w:sz w:val="20"/>
                <w:szCs w:val="20"/>
                <w:lang w:val="en-US"/>
              </w:rPr>
              <w:t>Percentual</w:t>
            </w:r>
            <w:r>
              <w:rPr>
                <w:b/>
                <w:spacing w:val="-2"/>
                <w:sz w:val="20"/>
                <w:szCs w:val="20"/>
                <w:lang w:val="en-US"/>
              </w:rPr>
              <w:t xml:space="preserve"> </w:t>
            </w:r>
            <w:r>
              <w:rPr>
                <w:b/>
                <w:sz w:val="20"/>
                <w:szCs w:val="20"/>
                <w:lang w:val="en-US"/>
              </w:rPr>
              <w:t>(%)</w:t>
            </w:r>
          </w:p>
        </w:tc>
      </w:tr>
      <w:tr>
        <w:trPr>
          <w:trHeight w:val="284" w:hRule="exact"/>
          <w:cantSplit w:val="true"/>
        </w:trPr>
        <w:tc>
          <w:tcPr>
            <w:tcW w:w="2978" w:type="dxa"/>
            <w:tcBorders>
              <w:top w:val="single" w:sz="4" w:space="0" w:color="000000"/>
            </w:tcBorders>
            <w:shd w:fill="auto" w:val="clear"/>
          </w:tcPr>
          <w:p>
            <w:pPr>
              <w:pStyle w:val="TableParagraph"/>
              <w:widowControl w:val="false"/>
              <w:spacing w:lineRule="auto" w:line="360" w:before="0" w:after="0"/>
              <w:rPr>
                <w:b/>
                <w:b/>
                <w:sz w:val="20"/>
                <w:szCs w:val="20"/>
              </w:rPr>
            </w:pPr>
            <w:r>
              <w:rPr>
                <w:sz w:val="20"/>
                <w:szCs w:val="20"/>
                <w:lang w:val="en-US"/>
              </w:rPr>
              <w:t>CaO</w:t>
            </w:r>
          </w:p>
        </w:tc>
        <w:tc>
          <w:tcPr>
            <w:tcW w:w="19" w:type="dxa"/>
            <w:tcBorders>
              <w:top w:val="single" w:sz="4" w:space="0" w:color="000000"/>
            </w:tcBorders>
            <w:shd w:fill="auto" w:val="clear"/>
          </w:tcPr>
          <w:p>
            <w:pPr>
              <w:pStyle w:val="TableParagraph"/>
              <w:widowControl w:val="false"/>
              <w:spacing w:lineRule="auto" w:line="360" w:before="0" w:after="0"/>
              <w:ind w:right="86" w:hanging="0"/>
              <w:rPr>
                <w:sz w:val="20"/>
                <w:szCs w:val="20"/>
                <w:lang w:val="en-US"/>
              </w:rPr>
            </w:pPr>
            <w:r>
              <w:rPr>
                <w:sz w:val="20"/>
                <w:szCs w:val="20"/>
                <w:lang w:val="en-US"/>
              </w:rPr>
            </w:r>
          </w:p>
        </w:tc>
        <w:tc>
          <w:tcPr>
            <w:tcW w:w="3406" w:type="dxa"/>
            <w:tcBorders>
              <w:top w:val="single" w:sz="4" w:space="0" w:color="000000"/>
            </w:tcBorders>
            <w:shd w:fill="auto" w:val="clear"/>
          </w:tcPr>
          <w:p>
            <w:pPr>
              <w:pStyle w:val="TableParagraph"/>
              <w:widowControl w:val="false"/>
              <w:spacing w:lineRule="auto" w:line="360" w:before="0" w:after="0"/>
              <w:ind w:right="86" w:hanging="0"/>
              <w:rPr>
                <w:b/>
                <w:b/>
                <w:sz w:val="20"/>
                <w:szCs w:val="20"/>
              </w:rPr>
            </w:pPr>
            <w:r>
              <w:rPr>
                <w:sz w:val="20"/>
                <w:szCs w:val="20"/>
                <w:lang w:val="en-US"/>
              </w:rPr>
              <w:t>25</w:t>
            </w:r>
            <w:r>
              <w:rPr>
                <w:b/>
                <w:sz w:val="20"/>
                <w:szCs w:val="20"/>
                <w:lang w:val="en-US"/>
              </w:rPr>
              <w:t>-</w:t>
            </w:r>
            <w:r>
              <w:rPr>
                <w:sz w:val="20"/>
                <w:szCs w:val="20"/>
                <w:lang w:val="en-US"/>
              </w:rPr>
              <w:t>45</w:t>
            </w:r>
          </w:p>
        </w:tc>
      </w:tr>
      <w:tr>
        <w:trPr>
          <w:trHeight w:val="284" w:hRule="exact"/>
          <w:cantSplit w:val="true"/>
        </w:trPr>
        <w:tc>
          <w:tcPr>
            <w:tcW w:w="2978" w:type="dxa"/>
            <w:tcBorders/>
            <w:shd w:fill="auto" w:val="clear"/>
          </w:tcPr>
          <w:p>
            <w:pPr>
              <w:pStyle w:val="TableParagraph"/>
              <w:widowControl w:val="false"/>
              <w:spacing w:lineRule="auto" w:line="360" w:before="65" w:after="0"/>
              <w:rPr>
                <w:b/>
                <w:b/>
                <w:sz w:val="20"/>
                <w:szCs w:val="20"/>
              </w:rPr>
            </w:pPr>
            <w:r>
              <w:rPr>
                <w:sz w:val="20"/>
                <w:szCs w:val="20"/>
                <w:lang w:val="en-US"/>
              </w:rPr>
              <w:t>SiO</w:t>
            </w:r>
            <w:r>
              <w:rPr>
                <w:sz w:val="20"/>
                <w:szCs w:val="20"/>
                <w:vertAlign w:val="subscript"/>
                <w:lang w:val="en-US"/>
              </w:rPr>
              <w:t>2</w:t>
            </w:r>
          </w:p>
        </w:tc>
        <w:tc>
          <w:tcPr>
            <w:tcW w:w="19" w:type="dxa"/>
            <w:tcBorders/>
            <w:shd w:fill="auto" w:val="clear"/>
          </w:tcPr>
          <w:p>
            <w:pPr>
              <w:pStyle w:val="TableParagraph"/>
              <w:widowControl w:val="false"/>
              <w:spacing w:lineRule="auto" w:line="360" w:before="65" w:after="0"/>
              <w:ind w:right="86" w:hanging="0"/>
              <w:rPr>
                <w:sz w:val="20"/>
                <w:szCs w:val="20"/>
                <w:lang w:val="en-US"/>
              </w:rPr>
            </w:pPr>
            <w:r>
              <w:rPr>
                <w:sz w:val="20"/>
                <w:szCs w:val="20"/>
                <w:lang w:val="en-US"/>
              </w:rPr>
            </w:r>
          </w:p>
        </w:tc>
        <w:tc>
          <w:tcPr>
            <w:tcW w:w="3406" w:type="dxa"/>
            <w:tcBorders/>
            <w:shd w:fill="auto" w:val="clear"/>
          </w:tcPr>
          <w:p>
            <w:pPr>
              <w:pStyle w:val="TableParagraph"/>
              <w:widowControl w:val="false"/>
              <w:spacing w:lineRule="auto" w:line="360" w:before="65" w:after="0"/>
              <w:ind w:right="86" w:hanging="0"/>
              <w:rPr>
                <w:b/>
                <w:b/>
                <w:sz w:val="20"/>
                <w:szCs w:val="20"/>
              </w:rPr>
            </w:pPr>
            <w:r>
              <w:rPr>
                <w:sz w:val="20"/>
                <w:szCs w:val="20"/>
                <w:lang w:val="en-US"/>
              </w:rPr>
              <w:t>20</w:t>
            </w:r>
            <w:r>
              <w:rPr>
                <w:b/>
                <w:sz w:val="20"/>
                <w:szCs w:val="20"/>
                <w:lang w:val="en-US"/>
              </w:rPr>
              <w:t>-</w:t>
            </w:r>
            <w:r>
              <w:rPr>
                <w:sz w:val="20"/>
                <w:szCs w:val="20"/>
                <w:lang w:val="en-US"/>
              </w:rPr>
              <w:t>50</w:t>
            </w:r>
          </w:p>
        </w:tc>
      </w:tr>
      <w:tr>
        <w:trPr>
          <w:trHeight w:val="284" w:hRule="exact"/>
          <w:cantSplit w:val="true"/>
        </w:trPr>
        <w:tc>
          <w:tcPr>
            <w:tcW w:w="2978" w:type="dxa"/>
            <w:tcBorders/>
            <w:shd w:fill="auto" w:val="clear"/>
          </w:tcPr>
          <w:p>
            <w:pPr>
              <w:pStyle w:val="TableParagraph"/>
              <w:widowControl w:val="false"/>
              <w:spacing w:lineRule="auto" w:line="360" w:before="61" w:after="0"/>
              <w:rPr>
                <w:b/>
                <w:b/>
                <w:sz w:val="20"/>
                <w:szCs w:val="20"/>
              </w:rPr>
            </w:pPr>
            <w:r>
              <w:rPr>
                <w:sz w:val="20"/>
                <w:szCs w:val="20"/>
                <w:lang w:val="en-US"/>
              </w:rPr>
              <w:t>Al</w:t>
            </w:r>
            <w:r>
              <w:rPr>
                <w:sz w:val="20"/>
                <w:szCs w:val="20"/>
                <w:vertAlign w:val="subscript"/>
                <w:lang w:val="en-US"/>
              </w:rPr>
              <w:t>2</w:t>
            </w:r>
            <w:r>
              <w:rPr>
                <w:sz w:val="20"/>
                <w:szCs w:val="20"/>
                <w:lang w:val="en-US"/>
              </w:rPr>
              <w:t>O</w:t>
            </w:r>
            <w:r>
              <w:rPr>
                <w:sz w:val="20"/>
                <w:szCs w:val="20"/>
                <w:vertAlign w:val="subscript"/>
                <w:lang w:val="en-US"/>
              </w:rPr>
              <w:t>3</w:t>
            </w:r>
          </w:p>
        </w:tc>
        <w:tc>
          <w:tcPr>
            <w:tcW w:w="19" w:type="dxa"/>
            <w:tcBorders/>
            <w:shd w:fill="auto" w:val="clear"/>
          </w:tcPr>
          <w:p>
            <w:pPr>
              <w:pStyle w:val="TableParagraph"/>
              <w:widowControl w:val="false"/>
              <w:spacing w:lineRule="auto" w:line="360" w:before="61" w:after="0"/>
              <w:ind w:right="86" w:hanging="0"/>
              <w:rPr>
                <w:sz w:val="20"/>
                <w:szCs w:val="20"/>
                <w:lang w:val="en-US"/>
              </w:rPr>
            </w:pPr>
            <w:r>
              <w:rPr>
                <w:sz w:val="20"/>
                <w:szCs w:val="20"/>
                <w:lang w:val="en-US"/>
              </w:rPr>
            </w:r>
          </w:p>
        </w:tc>
        <w:tc>
          <w:tcPr>
            <w:tcW w:w="3406" w:type="dxa"/>
            <w:tcBorders/>
            <w:shd w:fill="auto" w:val="clear"/>
          </w:tcPr>
          <w:p>
            <w:pPr>
              <w:pStyle w:val="TableParagraph"/>
              <w:widowControl w:val="false"/>
              <w:spacing w:lineRule="auto" w:line="360" w:before="61" w:after="0"/>
              <w:ind w:right="86" w:hanging="0"/>
              <w:rPr>
                <w:b/>
                <w:b/>
                <w:sz w:val="20"/>
                <w:szCs w:val="20"/>
              </w:rPr>
            </w:pPr>
            <w:r>
              <w:rPr>
                <w:sz w:val="20"/>
                <w:szCs w:val="20"/>
                <w:lang w:val="en-US"/>
              </w:rPr>
              <w:t>0</w:t>
            </w:r>
            <w:r>
              <w:rPr>
                <w:b/>
                <w:sz w:val="20"/>
                <w:szCs w:val="20"/>
                <w:lang w:val="en-US"/>
              </w:rPr>
              <w:t>-</w:t>
            </w:r>
            <w:r>
              <w:rPr>
                <w:sz w:val="20"/>
                <w:szCs w:val="20"/>
                <w:lang w:val="en-US"/>
              </w:rPr>
              <w:t>10</w:t>
            </w:r>
          </w:p>
        </w:tc>
      </w:tr>
      <w:tr>
        <w:trPr>
          <w:trHeight w:val="284" w:hRule="exact"/>
          <w:cantSplit w:val="true"/>
        </w:trPr>
        <w:tc>
          <w:tcPr>
            <w:tcW w:w="2978" w:type="dxa"/>
            <w:tcBorders/>
            <w:shd w:fill="auto" w:val="clear"/>
          </w:tcPr>
          <w:p>
            <w:pPr>
              <w:pStyle w:val="TableParagraph"/>
              <w:widowControl w:val="false"/>
              <w:spacing w:lineRule="auto" w:line="360" w:before="63" w:after="0"/>
              <w:rPr>
                <w:b/>
                <w:b/>
                <w:sz w:val="20"/>
                <w:szCs w:val="20"/>
              </w:rPr>
            </w:pPr>
            <w:r>
              <w:rPr>
                <w:sz w:val="20"/>
                <w:szCs w:val="20"/>
                <w:lang w:val="en-US"/>
              </w:rPr>
              <w:t>CaF</w:t>
            </w:r>
            <w:r>
              <w:rPr>
                <w:sz w:val="20"/>
                <w:szCs w:val="20"/>
                <w:vertAlign w:val="subscript"/>
                <w:lang w:val="en-US"/>
              </w:rPr>
              <w:t>2</w:t>
            </w:r>
          </w:p>
        </w:tc>
        <w:tc>
          <w:tcPr>
            <w:tcW w:w="19" w:type="dxa"/>
            <w:tcBorders/>
            <w:shd w:fill="auto" w:val="clear"/>
          </w:tcPr>
          <w:p>
            <w:pPr>
              <w:pStyle w:val="TableParagraph"/>
              <w:widowControl w:val="false"/>
              <w:spacing w:lineRule="auto" w:line="360" w:before="63" w:after="0"/>
              <w:ind w:right="86" w:hanging="0"/>
              <w:rPr>
                <w:sz w:val="20"/>
                <w:szCs w:val="20"/>
                <w:lang w:val="en-US"/>
              </w:rPr>
            </w:pPr>
            <w:r>
              <w:rPr>
                <w:sz w:val="20"/>
                <w:szCs w:val="20"/>
                <w:lang w:val="en-US"/>
              </w:rPr>
            </w:r>
          </w:p>
        </w:tc>
        <w:tc>
          <w:tcPr>
            <w:tcW w:w="3406" w:type="dxa"/>
            <w:tcBorders/>
            <w:shd w:fill="auto" w:val="clear"/>
          </w:tcPr>
          <w:p>
            <w:pPr>
              <w:pStyle w:val="TableParagraph"/>
              <w:widowControl w:val="false"/>
              <w:spacing w:lineRule="auto" w:line="360" w:before="63" w:after="0"/>
              <w:ind w:right="86" w:hanging="0"/>
              <w:rPr>
                <w:b/>
                <w:b/>
                <w:sz w:val="20"/>
                <w:szCs w:val="20"/>
              </w:rPr>
            </w:pPr>
            <w:r>
              <w:rPr>
                <w:sz w:val="20"/>
                <w:szCs w:val="20"/>
                <w:lang w:val="en-US"/>
              </w:rPr>
              <w:t>4</w:t>
            </w:r>
            <w:r>
              <w:rPr>
                <w:b/>
                <w:sz w:val="20"/>
                <w:szCs w:val="20"/>
                <w:lang w:val="en-US"/>
              </w:rPr>
              <w:t>-</w:t>
            </w:r>
            <w:r>
              <w:rPr>
                <w:sz w:val="20"/>
                <w:szCs w:val="20"/>
                <w:lang w:val="en-US"/>
              </w:rPr>
              <w:t>10</w:t>
            </w:r>
          </w:p>
        </w:tc>
      </w:tr>
      <w:tr>
        <w:trPr>
          <w:trHeight w:val="284" w:hRule="exact"/>
          <w:cantSplit w:val="true"/>
        </w:trPr>
        <w:tc>
          <w:tcPr>
            <w:tcW w:w="2978" w:type="dxa"/>
            <w:tcBorders/>
            <w:shd w:fill="auto" w:val="clear"/>
          </w:tcPr>
          <w:p>
            <w:pPr>
              <w:pStyle w:val="TableParagraph"/>
              <w:widowControl w:val="false"/>
              <w:spacing w:lineRule="auto" w:line="360" w:before="61" w:after="0"/>
              <w:rPr>
                <w:sz w:val="20"/>
                <w:szCs w:val="20"/>
              </w:rPr>
            </w:pPr>
            <w:r>
              <w:rPr>
                <w:sz w:val="20"/>
                <w:szCs w:val="20"/>
                <w:lang w:val="en-US"/>
              </w:rPr>
              <w:t>Na</w:t>
            </w:r>
            <w:r>
              <w:rPr>
                <w:sz w:val="20"/>
                <w:szCs w:val="20"/>
                <w:vertAlign w:val="subscript"/>
                <w:lang w:val="en-US"/>
              </w:rPr>
              <w:t>2</w:t>
            </w:r>
            <w:r>
              <w:rPr>
                <w:sz w:val="20"/>
                <w:szCs w:val="20"/>
                <w:lang w:val="en-US"/>
              </w:rPr>
              <w:t>O</w:t>
            </w:r>
          </w:p>
        </w:tc>
        <w:tc>
          <w:tcPr>
            <w:tcW w:w="19" w:type="dxa"/>
            <w:tcBorders/>
            <w:shd w:fill="auto" w:val="clear"/>
          </w:tcPr>
          <w:p>
            <w:pPr>
              <w:pStyle w:val="TableParagraph"/>
              <w:widowControl w:val="false"/>
              <w:spacing w:lineRule="auto" w:line="360" w:before="61" w:after="0"/>
              <w:ind w:right="86" w:hanging="0"/>
              <w:rPr>
                <w:sz w:val="20"/>
                <w:szCs w:val="20"/>
                <w:lang w:val="en-US"/>
              </w:rPr>
            </w:pPr>
            <w:r>
              <w:rPr>
                <w:sz w:val="20"/>
                <w:szCs w:val="20"/>
                <w:lang w:val="en-US"/>
              </w:rPr>
            </w:r>
          </w:p>
        </w:tc>
        <w:tc>
          <w:tcPr>
            <w:tcW w:w="3406" w:type="dxa"/>
            <w:tcBorders/>
            <w:shd w:fill="auto" w:val="clear"/>
          </w:tcPr>
          <w:p>
            <w:pPr>
              <w:pStyle w:val="TableParagraph"/>
              <w:widowControl w:val="false"/>
              <w:spacing w:lineRule="auto" w:line="360" w:before="61" w:after="0"/>
              <w:ind w:left="8" w:right="86" w:hanging="0"/>
              <w:rPr>
                <w:sz w:val="20"/>
                <w:szCs w:val="20"/>
              </w:rPr>
            </w:pPr>
            <w:r>
              <w:rPr>
                <w:sz w:val="20"/>
                <w:szCs w:val="20"/>
                <w:lang w:val="en-US"/>
              </w:rPr>
              <w:t>1-20</w:t>
            </w:r>
          </w:p>
        </w:tc>
      </w:tr>
      <w:tr>
        <w:trPr>
          <w:trHeight w:val="284" w:hRule="exact"/>
          <w:cantSplit w:val="true"/>
        </w:trPr>
        <w:tc>
          <w:tcPr>
            <w:tcW w:w="2978" w:type="dxa"/>
            <w:tcBorders/>
            <w:shd w:fill="auto" w:val="clear"/>
          </w:tcPr>
          <w:p>
            <w:pPr>
              <w:pStyle w:val="TableParagraph"/>
              <w:widowControl w:val="false"/>
              <w:spacing w:lineRule="auto" w:line="360" w:before="61" w:after="0"/>
              <w:rPr>
                <w:sz w:val="20"/>
                <w:szCs w:val="20"/>
              </w:rPr>
            </w:pPr>
            <w:r>
              <w:rPr>
                <w:sz w:val="20"/>
                <w:szCs w:val="20"/>
                <w:lang w:val="en-US"/>
              </w:rPr>
              <w:t>K</w:t>
            </w:r>
            <w:r>
              <w:rPr>
                <w:sz w:val="20"/>
                <w:szCs w:val="20"/>
                <w:vertAlign w:val="subscript"/>
                <w:lang w:val="en-US"/>
              </w:rPr>
              <w:t>2</w:t>
            </w:r>
            <w:r>
              <w:rPr>
                <w:sz w:val="20"/>
                <w:szCs w:val="20"/>
                <w:lang w:val="en-US"/>
              </w:rPr>
              <w:t>O</w:t>
            </w:r>
          </w:p>
        </w:tc>
        <w:tc>
          <w:tcPr>
            <w:tcW w:w="19" w:type="dxa"/>
            <w:tcBorders/>
            <w:shd w:fill="auto" w:val="clear"/>
          </w:tcPr>
          <w:p>
            <w:pPr>
              <w:pStyle w:val="TableParagraph"/>
              <w:widowControl w:val="false"/>
              <w:spacing w:lineRule="auto" w:line="360" w:before="61" w:after="0"/>
              <w:ind w:right="86" w:hanging="0"/>
              <w:rPr>
                <w:sz w:val="20"/>
                <w:szCs w:val="20"/>
                <w:lang w:val="en-US"/>
              </w:rPr>
            </w:pPr>
            <w:r>
              <w:rPr>
                <w:sz w:val="20"/>
                <w:szCs w:val="20"/>
                <w:lang w:val="en-US"/>
              </w:rPr>
            </w:r>
          </w:p>
        </w:tc>
        <w:tc>
          <w:tcPr>
            <w:tcW w:w="3406" w:type="dxa"/>
            <w:tcBorders/>
            <w:shd w:fill="auto" w:val="clear"/>
          </w:tcPr>
          <w:p>
            <w:pPr>
              <w:pStyle w:val="TableParagraph"/>
              <w:widowControl w:val="false"/>
              <w:spacing w:lineRule="auto" w:line="360" w:before="61" w:after="0"/>
              <w:ind w:left="8" w:right="86" w:hanging="0"/>
              <w:rPr>
                <w:sz w:val="20"/>
                <w:szCs w:val="20"/>
              </w:rPr>
            </w:pPr>
            <w:r>
              <w:rPr>
                <w:sz w:val="20"/>
                <w:szCs w:val="20"/>
                <w:lang w:val="en-US"/>
              </w:rPr>
              <w:t>0-5</w:t>
            </w:r>
          </w:p>
        </w:tc>
      </w:tr>
      <w:tr>
        <w:trPr>
          <w:trHeight w:val="284" w:hRule="exact"/>
          <w:cantSplit w:val="true"/>
        </w:trPr>
        <w:tc>
          <w:tcPr>
            <w:tcW w:w="2978" w:type="dxa"/>
            <w:tcBorders/>
            <w:shd w:fill="auto" w:val="clear"/>
          </w:tcPr>
          <w:p>
            <w:pPr>
              <w:pStyle w:val="TableParagraph"/>
              <w:widowControl w:val="false"/>
              <w:spacing w:lineRule="auto" w:line="360" w:before="63" w:after="0"/>
              <w:rPr>
                <w:sz w:val="20"/>
                <w:szCs w:val="20"/>
              </w:rPr>
            </w:pPr>
            <w:r>
              <w:rPr>
                <w:sz w:val="20"/>
                <w:szCs w:val="20"/>
                <w:lang w:val="en-US"/>
              </w:rPr>
              <w:t>FeO</w:t>
            </w:r>
          </w:p>
        </w:tc>
        <w:tc>
          <w:tcPr>
            <w:tcW w:w="19" w:type="dxa"/>
            <w:tcBorders/>
            <w:shd w:fill="auto" w:val="clear"/>
          </w:tcPr>
          <w:p>
            <w:pPr>
              <w:pStyle w:val="TableParagraph"/>
              <w:widowControl w:val="false"/>
              <w:spacing w:lineRule="auto" w:line="360" w:before="63" w:after="0"/>
              <w:ind w:right="86" w:hanging="0"/>
              <w:rPr>
                <w:sz w:val="20"/>
                <w:szCs w:val="20"/>
                <w:lang w:val="en-US"/>
              </w:rPr>
            </w:pPr>
            <w:r>
              <w:rPr>
                <w:sz w:val="20"/>
                <w:szCs w:val="20"/>
                <w:lang w:val="en-US"/>
              </w:rPr>
            </w:r>
          </w:p>
        </w:tc>
        <w:tc>
          <w:tcPr>
            <w:tcW w:w="3406" w:type="dxa"/>
            <w:tcBorders/>
            <w:shd w:fill="auto" w:val="clear"/>
          </w:tcPr>
          <w:p>
            <w:pPr>
              <w:pStyle w:val="TableParagraph"/>
              <w:widowControl w:val="false"/>
              <w:spacing w:lineRule="auto" w:line="360" w:before="63" w:after="0"/>
              <w:ind w:right="86" w:hanging="0"/>
              <w:rPr>
                <w:sz w:val="20"/>
                <w:szCs w:val="20"/>
              </w:rPr>
            </w:pPr>
            <w:r>
              <w:rPr>
                <w:sz w:val="20"/>
                <w:szCs w:val="20"/>
                <w:lang w:val="en-US"/>
              </w:rPr>
              <w:t>0-5</w:t>
            </w:r>
          </w:p>
        </w:tc>
      </w:tr>
      <w:tr>
        <w:trPr>
          <w:trHeight w:val="284" w:hRule="exact"/>
          <w:cantSplit w:val="true"/>
        </w:trPr>
        <w:tc>
          <w:tcPr>
            <w:tcW w:w="2978" w:type="dxa"/>
            <w:tcBorders/>
            <w:shd w:fill="auto" w:val="clear"/>
          </w:tcPr>
          <w:p>
            <w:pPr>
              <w:pStyle w:val="TableParagraph"/>
              <w:widowControl w:val="false"/>
              <w:spacing w:lineRule="auto" w:line="360" w:before="63" w:after="0"/>
              <w:rPr>
                <w:sz w:val="20"/>
                <w:szCs w:val="20"/>
                <w:vertAlign w:val="subscript"/>
              </w:rPr>
            </w:pPr>
            <w:r>
              <w:rPr>
                <w:sz w:val="20"/>
                <w:szCs w:val="20"/>
                <w:lang w:val="en-US"/>
              </w:rPr>
              <w:t>TiO</w:t>
            </w:r>
            <w:r>
              <w:rPr>
                <w:sz w:val="20"/>
                <w:szCs w:val="20"/>
                <w:vertAlign w:val="subscript"/>
                <w:lang w:val="en-US"/>
              </w:rPr>
              <w:t>2</w:t>
            </w:r>
          </w:p>
        </w:tc>
        <w:tc>
          <w:tcPr>
            <w:tcW w:w="19" w:type="dxa"/>
            <w:tcBorders/>
            <w:shd w:fill="auto" w:val="clear"/>
          </w:tcPr>
          <w:p>
            <w:pPr>
              <w:pStyle w:val="TableParagraph"/>
              <w:widowControl w:val="false"/>
              <w:spacing w:lineRule="auto" w:line="360" w:before="63" w:after="0"/>
              <w:ind w:right="86" w:hanging="0"/>
              <w:rPr>
                <w:sz w:val="20"/>
                <w:szCs w:val="20"/>
                <w:lang w:val="en-US"/>
              </w:rPr>
            </w:pPr>
            <w:r>
              <w:rPr>
                <w:sz w:val="20"/>
                <w:szCs w:val="20"/>
                <w:lang w:val="en-US"/>
              </w:rPr>
            </w:r>
          </w:p>
        </w:tc>
        <w:tc>
          <w:tcPr>
            <w:tcW w:w="3406" w:type="dxa"/>
            <w:tcBorders/>
            <w:shd w:fill="auto" w:val="clear"/>
          </w:tcPr>
          <w:p>
            <w:pPr>
              <w:pStyle w:val="TableParagraph"/>
              <w:widowControl w:val="false"/>
              <w:spacing w:lineRule="auto" w:line="360" w:before="63" w:after="0"/>
              <w:ind w:right="86" w:hanging="0"/>
              <w:rPr>
                <w:sz w:val="20"/>
                <w:szCs w:val="20"/>
              </w:rPr>
            </w:pPr>
            <w:r>
              <w:rPr>
                <w:sz w:val="20"/>
                <w:szCs w:val="20"/>
                <w:lang w:val="en-US"/>
              </w:rPr>
              <w:t>0-5</w:t>
            </w:r>
          </w:p>
        </w:tc>
      </w:tr>
      <w:tr>
        <w:trPr>
          <w:trHeight w:val="284" w:hRule="exact"/>
          <w:cantSplit w:val="true"/>
        </w:trPr>
        <w:tc>
          <w:tcPr>
            <w:tcW w:w="2978" w:type="dxa"/>
            <w:tcBorders/>
            <w:shd w:fill="auto" w:val="clear"/>
          </w:tcPr>
          <w:p>
            <w:pPr>
              <w:pStyle w:val="TableParagraph"/>
              <w:widowControl w:val="false"/>
              <w:spacing w:lineRule="auto" w:line="360" w:before="62" w:after="0"/>
              <w:rPr>
                <w:sz w:val="20"/>
                <w:szCs w:val="20"/>
              </w:rPr>
            </w:pPr>
            <w:r>
              <w:rPr>
                <w:sz w:val="20"/>
                <w:szCs w:val="20"/>
                <w:lang w:val="en-US"/>
              </w:rPr>
              <w:t>MgO</w:t>
            </w:r>
          </w:p>
        </w:tc>
        <w:tc>
          <w:tcPr>
            <w:tcW w:w="19" w:type="dxa"/>
            <w:tcBorders/>
            <w:shd w:fill="auto" w:val="clear"/>
          </w:tcPr>
          <w:p>
            <w:pPr>
              <w:pStyle w:val="TableParagraph"/>
              <w:widowControl w:val="false"/>
              <w:spacing w:lineRule="auto" w:line="360" w:before="62" w:after="0"/>
              <w:ind w:right="86" w:hanging="0"/>
              <w:rPr>
                <w:sz w:val="20"/>
                <w:szCs w:val="20"/>
                <w:lang w:val="en-US"/>
              </w:rPr>
            </w:pPr>
            <w:r>
              <w:rPr>
                <w:sz w:val="20"/>
                <w:szCs w:val="20"/>
                <w:lang w:val="en-US"/>
              </w:rPr>
            </w:r>
          </w:p>
        </w:tc>
        <w:tc>
          <w:tcPr>
            <w:tcW w:w="3406" w:type="dxa"/>
            <w:tcBorders/>
            <w:shd w:fill="auto" w:val="clear"/>
          </w:tcPr>
          <w:p>
            <w:pPr>
              <w:pStyle w:val="TableParagraph"/>
              <w:widowControl w:val="false"/>
              <w:spacing w:lineRule="auto" w:line="360" w:before="62" w:after="0"/>
              <w:ind w:right="86" w:hanging="0"/>
              <w:rPr>
                <w:sz w:val="20"/>
                <w:szCs w:val="20"/>
              </w:rPr>
            </w:pPr>
            <w:r>
              <w:rPr>
                <w:sz w:val="20"/>
                <w:szCs w:val="20"/>
                <w:lang w:val="en-US"/>
              </w:rPr>
              <w:t>0-10</w:t>
            </w:r>
          </w:p>
        </w:tc>
      </w:tr>
      <w:tr>
        <w:trPr>
          <w:trHeight w:val="284" w:hRule="exact"/>
          <w:cantSplit w:val="true"/>
        </w:trPr>
        <w:tc>
          <w:tcPr>
            <w:tcW w:w="2978" w:type="dxa"/>
            <w:tcBorders/>
            <w:shd w:fill="auto" w:val="clear"/>
          </w:tcPr>
          <w:p>
            <w:pPr>
              <w:pStyle w:val="TableParagraph"/>
              <w:widowControl w:val="false"/>
              <w:spacing w:lineRule="auto" w:line="360" w:before="65" w:after="0"/>
              <w:rPr>
                <w:sz w:val="20"/>
                <w:szCs w:val="20"/>
              </w:rPr>
            </w:pPr>
            <w:r>
              <w:rPr>
                <w:sz w:val="20"/>
                <w:szCs w:val="20"/>
                <w:lang w:val="en-US"/>
              </w:rPr>
              <w:t>MnO</w:t>
            </w:r>
          </w:p>
        </w:tc>
        <w:tc>
          <w:tcPr>
            <w:tcW w:w="19" w:type="dxa"/>
            <w:tcBorders/>
            <w:shd w:fill="auto" w:val="clear"/>
          </w:tcPr>
          <w:p>
            <w:pPr>
              <w:pStyle w:val="TableParagraph"/>
              <w:widowControl w:val="false"/>
              <w:spacing w:lineRule="auto" w:line="360" w:before="65" w:after="0"/>
              <w:ind w:right="86" w:hanging="0"/>
              <w:rPr>
                <w:sz w:val="20"/>
                <w:szCs w:val="20"/>
                <w:lang w:val="en-US"/>
              </w:rPr>
            </w:pPr>
            <w:r>
              <w:rPr>
                <w:sz w:val="20"/>
                <w:szCs w:val="20"/>
                <w:lang w:val="en-US"/>
              </w:rPr>
            </w:r>
          </w:p>
        </w:tc>
        <w:tc>
          <w:tcPr>
            <w:tcW w:w="3406" w:type="dxa"/>
            <w:tcBorders/>
            <w:shd w:fill="auto" w:val="clear"/>
          </w:tcPr>
          <w:p>
            <w:pPr>
              <w:pStyle w:val="TableParagraph"/>
              <w:widowControl w:val="false"/>
              <w:spacing w:lineRule="auto" w:line="360" w:before="65" w:after="0"/>
              <w:ind w:right="86" w:hanging="0"/>
              <w:rPr>
                <w:sz w:val="20"/>
                <w:szCs w:val="20"/>
              </w:rPr>
            </w:pPr>
            <w:r>
              <w:rPr>
                <w:sz w:val="20"/>
                <w:szCs w:val="20"/>
                <w:lang w:val="en-US"/>
              </w:rPr>
              <w:t>0-10</w:t>
            </w:r>
          </w:p>
        </w:tc>
      </w:tr>
      <w:tr>
        <w:trPr>
          <w:trHeight w:val="284" w:hRule="exact"/>
          <w:cantSplit w:val="true"/>
        </w:trPr>
        <w:tc>
          <w:tcPr>
            <w:tcW w:w="2978" w:type="dxa"/>
            <w:tcBorders/>
            <w:shd w:fill="auto" w:val="clear"/>
          </w:tcPr>
          <w:p>
            <w:pPr>
              <w:pStyle w:val="TableParagraph"/>
              <w:widowControl w:val="false"/>
              <w:spacing w:lineRule="auto" w:line="360" w:before="62" w:after="0"/>
              <w:rPr>
                <w:sz w:val="20"/>
                <w:szCs w:val="20"/>
              </w:rPr>
            </w:pPr>
            <w:r>
              <w:rPr>
                <w:sz w:val="20"/>
                <w:szCs w:val="20"/>
                <w:lang w:val="en-US"/>
              </w:rPr>
              <w:t>BaO</w:t>
            </w:r>
          </w:p>
        </w:tc>
        <w:tc>
          <w:tcPr>
            <w:tcW w:w="19" w:type="dxa"/>
            <w:tcBorders/>
            <w:shd w:fill="auto" w:val="clear"/>
          </w:tcPr>
          <w:p>
            <w:pPr>
              <w:pStyle w:val="TableParagraph"/>
              <w:widowControl w:val="false"/>
              <w:spacing w:lineRule="auto" w:line="360" w:before="62" w:after="0"/>
              <w:ind w:right="86" w:hanging="0"/>
              <w:rPr>
                <w:sz w:val="20"/>
                <w:szCs w:val="20"/>
                <w:lang w:val="en-US"/>
              </w:rPr>
            </w:pPr>
            <w:r>
              <w:rPr>
                <w:sz w:val="20"/>
                <w:szCs w:val="20"/>
                <w:lang w:val="en-US"/>
              </w:rPr>
            </w:r>
          </w:p>
        </w:tc>
        <w:tc>
          <w:tcPr>
            <w:tcW w:w="3406" w:type="dxa"/>
            <w:tcBorders/>
            <w:shd w:fill="auto" w:val="clear"/>
          </w:tcPr>
          <w:p>
            <w:pPr>
              <w:pStyle w:val="TableParagraph"/>
              <w:widowControl w:val="false"/>
              <w:spacing w:lineRule="auto" w:line="360" w:before="62" w:after="0"/>
              <w:ind w:right="86" w:hanging="0"/>
              <w:rPr>
                <w:sz w:val="20"/>
                <w:szCs w:val="20"/>
              </w:rPr>
            </w:pPr>
            <w:r>
              <w:rPr>
                <w:sz w:val="20"/>
                <w:szCs w:val="20"/>
                <w:lang w:val="en-US"/>
              </w:rPr>
              <w:t>0-10</w:t>
            </w:r>
          </w:p>
        </w:tc>
      </w:tr>
      <w:tr>
        <w:trPr>
          <w:trHeight w:val="284" w:hRule="exact"/>
          <w:cantSplit w:val="true"/>
        </w:trPr>
        <w:tc>
          <w:tcPr>
            <w:tcW w:w="2978" w:type="dxa"/>
            <w:tcBorders/>
            <w:shd w:fill="auto" w:val="clear"/>
          </w:tcPr>
          <w:p>
            <w:pPr>
              <w:pStyle w:val="TableParagraph"/>
              <w:widowControl w:val="false"/>
              <w:spacing w:lineRule="auto" w:line="360" w:before="64" w:after="0"/>
              <w:rPr>
                <w:sz w:val="20"/>
                <w:szCs w:val="20"/>
              </w:rPr>
            </w:pPr>
            <w:r>
              <w:rPr>
                <w:sz w:val="20"/>
                <w:szCs w:val="20"/>
                <w:lang w:val="en-US"/>
              </w:rPr>
              <w:t>Li</w:t>
            </w:r>
            <w:r>
              <w:rPr>
                <w:sz w:val="20"/>
                <w:szCs w:val="20"/>
                <w:vertAlign w:val="subscript"/>
                <w:lang w:val="en-US"/>
              </w:rPr>
              <w:t>2</w:t>
            </w:r>
            <w:r>
              <w:rPr>
                <w:sz w:val="20"/>
                <w:szCs w:val="20"/>
                <w:lang w:val="en-US"/>
              </w:rPr>
              <w:t>O</w:t>
            </w:r>
          </w:p>
        </w:tc>
        <w:tc>
          <w:tcPr>
            <w:tcW w:w="19" w:type="dxa"/>
            <w:tcBorders/>
            <w:shd w:fill="auto" w:val="clear"/>
          </w:tcPr>
          <w:p>
            <w:pPr>
              <w:pStyle w:val="TableParagraph"/>
              <w:widowControl w:val="false"/>
              <w:spacing w:lineRule="auto" w:line="360" w:before="64" w:after="0"/>
              <w:ind w:right="86" w:hanging="0"/>
              <w:rPr>
                <w:sz w:val="20"/>
                <w:szCs w:val="20"/>
                <w:lang w:val="en-US"/>
              </w:rPr>
            </w:pPr>
            <w:r>
              <w:rPr>
                <w:sz w:val="20"/>
                <w:szCs w:val="20"/>
                <w:lang w:val="en-US"/>
              </w:rPr>
            </w:r>
          </w:p>
        </w:tc>
        <w:tc>
          <w:tcPr>
            <w:tcW w:w="3406" w:type="dxa"/>
            <w:tcBorders/>
            <w:shd w:fill="auto" w:val="clear"/>
          </w:tcPr>
          <w:p>
            <w:pPr>
              <w:pStyle w:val="TableParagraph"/>
              <w:widowControl w:val="false"/>
              <w:spacing w:lineRule="auto" w:line="360" w:before="64" w:after="0"/>
              <w:ind w:right="86" w:hanging="0"/>
              <w:rPr>
                <w:sz w:val="20"/>
                <w:szCs w:val="20"/>
              </w:rPr>
            </w:pPr>
            <w:r>
              <w:rPr>
                <w:sz w:val="20"/>
                <w:szCs w:val="20"/>
                <w:lang w:val="en-US"/>
              </w:rPr>
              <w:t>0-4</w:t>
            </w:r>
          </w:p>
        </w:tc>
      </w:tr>
      <w:tr>
        <w:trPr>
          <w:trHeight w:val="284" w:hRule="exact"/>
          <w:cantSplit w:val="true"/>
        </w:trPr>
        <w:tc>
          <w:tcPr>
            <w:tcW w:w="2978" w:type="dxa"/>
            <w:tcBorders>
              <w:bottom w:val="single" w:sz="4" w:space="0" w:color="000000"/>
              <w:insideH w:val="single" w:sz="4" w:space="0" w:color="000000"/>
            </w:tcBorders>
            <w:shd w:fill="auto" w:val="clear"/>
          </w:tcPr>
          <w:p>
            <w:pPr>
              <w:pStyle w:val="TableParagraph"/>
              <w:widowControl w:val="false"/>
              <w:spacing w:lineRule="auto" w:line="360" w:before="61" w:after="0"/>
              <w:rPr>
                <w:sz w:val="20"/>
                <w:szCs w:val="20"/>
              </w:rPr>
            </w:pPr>
            <w:r>
              <w:rPr>
                <w:sz w:val="20"/>
                <w:szCs w:val="20"/>
                <w:lang w:val="en-US"/>
              </w:rPr>
              <w:t>B</w:t>
            </w:r>
            <w:r>
              <w:rPr>
                <w:sz w:val="20"/>
                <w:szCs w:val="20"/>
                <w:vertAlign w:val="subscript"/>
                <w:lang w:val="en-US"/>
              </w:rPr>
              <w:t>2</w:t>
            </w:r>
            <w:r>
              <w:rPr>
                <w:sz w:val="20"/>
                <w:szCs w:val="20"/>
                <w:lang w:val="en-US"/>
              </w:rPr>
              <w:t>O</w:t>
            </w:r>
            <w:r>
              <w:rPr>
                <w:sz w:val="20"/>
                <w:szCs w:val="20"/>
                <w:vertAlign w:val="subscript"/>
                <w:lang w:val="en-US"/>
              </w:rPr>
              <w:t>3</w:t>
            </w:r>
          </w:p>
        </w:tc>
        <w:tc>
          <w:tcPr>
            <w:tcW w:w="19" w:type="dxa"/>
            <w:tcBorders>
              <w:bottom w:val="single" w:sz="4" w:space="0" w:color="000000"/>
              <w:insideH w:val="single" w:sz="4" w:space="0" w:color="000000"/>
            </w:tcBorders>
            <w:shd w:fill="auto" w:val="clear"/>
          </w:tcPr>
          <w:p>
            <w:pPr>
              <w:pStyle w:val="TableParagraph"/>
              <w:widowControl w:val="false"/>
              <w:spacing w:lineRule="auto" w:line="360" w:before="61" w:after="0"/>
              <w:ind w:right="86" w:hanging="0"/>
              <w:rPr>
                <w:sz w:val="20"/>
                <w:szCs w:val="20"/>
                <w:lang w:val="en-US"/>
              </w:rPr>
            </w:pPr>
            <w:r>
              <w:rPr>
                <w:sz w:val="20"/>
                <w:szCs w:val="20"/>
                <w:lang w:val="en-US"/>
              </w:rPr>
            </w:r>
          </w:p>
        </w:tc>
        <w:tc>
          <w:tcPr>
            <w:tcW w:w="3406" w:type="dxa"/>
            <w:tcBorders>
              <w:bottom w:val="single" w:sz="4" w:space="0" w:color="000000"/>
              <w:insideH w:val="single" w:sz="4" w:space="0" w:color="000000"/>
            </w:tcBorders>
            <w:shd w:fill="auto" w:val="clear"/>
          </w:tcPr>
          <w:p>
            <w:pPr>
              <w:pStyle w:val="TableParagraph"/>
              <w:widowControl w:val="false"/>
              <w:spacing w:lineRule="auto" w:line="360" w:before="61" w:after="0"/>
              <w:ind w:right="86" w:hanging="0"/>
              <w:rPr>
                <w:sz w:val="20"/>
                <w:szCs w:val="20"/>
              </w:rPr>
            </w:pPr>
            <w:r>
              <w:rPr>
                <w:sz w:val="20"/>
                <w:szCs w:val="20"/>
                <w:lang w:val="en-US"/>
              </w:rPr>
              <w:t>0-10</w:t>
            </w:r>
          </w:p>
        </w:tc>
      </w:tr>
    </w:tbl>
    <w:p>
      <w:pPr>
        <w:pStyle w:val="Normal"/>
        <w:spacing w:lineRule="auto" w:line="360" w:before="0" w:after="0"/>
        <w:ind w:left="1134" w:hanging="0"/>
        <w:jc w:val="both"/>
        <w:rPr>
          <w:rFonts w:ascii="Times New Roman" w:hAnsi="Times New Roman" w:cs="Times New Roman"/>
          <w:sz w:val="20"/>
          <w:szCs w:val="24"/>
        </w:rPr>
      </w:pPr>
      <w:r>
        <w:rPr>
          <w:rFonts w:cs="Times New Roman" w:ascii="Times New Roman" w:hAnsi="Times New Roman"/>
          <w:sz w:val="20"/>
          <w:szCs w:val="24"/>
        </w:rPr>
        <w:t>Fonte: RIZZO (2006, com adaptações) e MEDEIROS (2019, com adaptações).</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szCs w:val="24"/>
        </w:rPr>
        <w:tab/>
      </w:r>
      <w:r>
        <w:rPr>
          <w:rFonts w:cs="Times New Roman" w:ascii="Times New Roman" w:hAnsi="Times New Roman"/>
          <w:sz w:val="24"/>
        </w:rPr>
        <w:t>A sílica (</w:t>
      </w:r>
      <w:r>
        <w:rPr>
          <w:rFonts w:cs="Times New Roman" w:ascii="Times New Roman" w:hAnsi="Times New Roman"/>
          <w:sz w:val="24"/>
          <w:szCs w:val="24"/>
        </w:rPr>
        <w:t>SiO</w:t>
      </w:r>
      <w:r>
        <w:rPr>
          <w:rFonts w:cs="Times New Roman" w:ascii="Times New Roman" w:hAnsi="Times New Roman"/>
          <w:sz w:val="24"/>
          <w:szCs w:val="24"/>
          <w:vertAlign w:val="subscript"/>
        </w:rPr>
        <w:t>2</w:t>
      </w:r>
      <w:r>
        <w:rPr>
          <w:rFonts w:cs="Times New Roman" w:ascii="Times New Roman" w:hAnsi="Times New Roman"/>
          <w:sz w:val="24"/>
          <w:szCs w:val="24"/>
        </w:rPr>
        <w:t>)</w:t>
      </w:r>
      <w:r>
        <w:rPr>
          <w:rFonts w:cs="Times New Roman" w:ascii="Times New Roman" w:hAnsi="Times New Roman"/>
          <w:sz w:val="24"/>
        </w:rPr>
        <w:t xml:space="preserve"> e a alumina (</w:t>
      </w:r>
      <w:r>
        <w:rPr>
          <w:rFonts w:cs="Times New Roman" w:ascii="Times New Roman" w:hAnsi="Times New Roman"/>
          <w:sz w:val="24"/>
          <w:szCs w:val="24"/>
        </w:rPr>
        <w:t>Al</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rPr>
        <w:t xml:space="preserve"> são os principais componentes que determinam a viscosidade da escória do pó. Além destes óxidos, outros componentes influenciam as escórias do molde, assim chamados modificadores de rede, como: CaF</w:t>
      </w:r>
      <w:r>
        <w:rPr>
          <w:rFonts w:cs="Times New Roman" w:ascii="Times New Roman" w:hAnsi="Times New Roman"/>
          <w:sz w:val="24"/>
          <w:vertAlign w:val="subscript"/>
        </w:rPr>
        <w:t>2</w:t>
      </w:r>
      <w:r>
        <w:rPr>
          <w:rFonts w:cs="Times New Roman" w:ascii="Times New Roman" w:hAnsi="Times New Roman"/>
          <w:sz w:val="24"/>
        </w:rPr>
        <w:t>, Na</w:t>
      </w:r>
      <w:r>
        <w:rPr>
          <w:rFonts w:cs="Times New Roman" w:ascii="Times New Roman" w:hAnsi="Times New Roman"/>
          <w:sz w:val="24"/>
          <w:vertAlign w:val="subscript"/>
        </w:rPr>
        <w:t>2</w:t>
      </w:r>
      <w:r>
        <w:rPr>
          <w:rFonts w:cs="Times New Roman" w:ascii="Times New Roman" w:hAnsi="Times New Roman"/>
          <w:sz w:val="24"/>
        </w:rPr>
        <w:t>O, K</w:t>
      </w:r>
      <w:r>
        <w:rPr>
          <w:rFonts w:cs="Times New Roman" w:ascii="Times New Roman" w:hAnsi="Times New Roman"/>
          <w:sz w:val="24"/>
          <w:vertAlign w:val="subscript"/>
        </w:rPr>
        <w:t>2</w:t>
      </w:r>
      <w:r>
        <w:rPr>
          <w:rFonts w:cs="Times New Roman" w:ascii="Times New Roman" w:hAnsi="Times New Roman"/>
          <w:sz w:val="24"/>
        </w:rPr>
        <w:t>O, CaO, MgO (Mills, 2003).</w:t>
      </w:r>
    </w:p>
    <w:p>
      <w:pPr>
        <w:pStyle w:val="Default"/>
        <w:spacing w:lineRule="auto" w:line="360"/>
        <w:ind w:firstLine="1134"/>
        <w:jc w:val="both"/>
        <w:rPr/>
      </w:pPr>
      <w:r>
        <w:rPr/>
        <w:t xml:space="preserve">Em 2004, Mills e colaboradores resumiram o efeito individual de cada componente do pó fluxante e esta análise pode ser observada na figura 15. </w:t>
      </w:r>
    </w:p>
    <w:p>
      <w:pPr>
        <w:pStyle w:val="Default"/>
        <w:spacing w:lineRule="auto" w:line="360"/>
        <w:ind w:firstLine="1134"/>
        <w:jc w:val="both"/>
        <w:rPr/>
      </w:pPr>
      <w:r>
        <w:rPr/>
      </w:r>
    </w:p>
    <w:p>
      <w:pPr>
        <w:pStyle w:val="Default"/>
        <w:spacing w:lineRule="auto" w:line="360"/>
        <w:ind w:left="142" w:hanging="0"/>
        <w:jc w:val="both"/>
        <w:rPr/>
      </w:pPr>
      <w:r>
        <w:rPr>
          <w:color w:val="auto"/>
        </w:rPr>
        <w:t>Figura 15 -</w:t>
      </w:r>
      <w:r>
        <w:rPr>
          <w:color w:val="FF0000"/>
        </w:rPr>
        <w:t xml:space="preserve"> </w:t>
      </w:r>
      <w:r>
        <w:rPr/>
        <w:t>O efeito da composição dos pós fluxantes em suas propriedades.</w:t>
      </w:r>
      <w:bookmarkStart w:id="67" w:name="_Hlk156893433"/>
      <w:bookmarkEnd w:id="67"/>
    </w:p>
    <w:p>
      <w:pPr>
        <w:pStyle w:val="Default"/>
        <w:spacing w:lineRule="auto" w:line="360"/>
        <w:jc w:val="center"/>
        <w:rPr>
          <w:rFonts w:eastAsia="Calibri" w:eastAsiaTheme="minorHAnsi"/>
          <w:color w:val="auto"/>
          <w:szCs w:val="23"/>
          <w:lang w:eastAsia="en-US"/>
        </w:rPr>
      </w:pPr>
      <w:r>
        <w:rPr/>
        <w:drawing>
          <wp:inline distT="0" distB="5715" distL="0" distR="0">
            <wp:extent cx="5318760" cy="1575435"/>
            <wp:effectExtent l="0" t="0" r="0" b="0"/>
            <wp:docPr id="23" name="Imagem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44" descr=""/>
                    <pic:cNvPicPr>
                      <a:picLocks noChangeAspect="1" noChangeArrowheads="1"/>
                    </pic:cNvPicPr>
                  </pic:nvPicPr>
                  <pic:blipFill>
                    <a:blip r:embed="rId19"/>
                    <a:srcRect l="14044" t="41122" r="9352" b="19547"/>
                    <a:stretch>
                      <a:fillRect/>
                    </a:stretch>
                  </pic:blipFill>
                  <pic:spPr bwMode="auto">
                    <a:xfrm>
                      <a:off x="0" y="0"/>
                      <a:ext cx="5318760" cy="1575435"/>
                    </a:xfrm>
                    <a:prstGeom prst="rect">
                      <a:avLst/>
                    </a:prstGeom>
                  </pic:spPr>
                </pic:pic>
              </a:graphicData>
            </a:graphic>
          </wp:inline>
        </w:drawing>
      </w:r>
    </w:p>
    <w:p>
      <w:pPr>
        <w:pStyle w:val="Default"/>
        <w:spacing w:lineRule="auto" w:line="360"/>
        <w:ind w:left="142" w:hanging="0"/>
        <w:jc w:val="both"/>
        <w:rPr>
          <w:sz w:val="20"/>
        </w:rPr>
      </w:pPr>
      <w:r>
        <w:rPr>
          <w:sz w:val="20"/>
        </w:rPr>
        <w:t xml:space="preserve">Fonte: </w:t>
      </w:r>
      <w:bookmarkStart w:id="68" w:name="_Hlk156987602"/>
      <w:r>
        <w:rPr>
          <w:sz w:val="20"/>
        </w:rPr>
        <w:t>MILLS et al. (2004</w:t>
      </w:r>
      <w:bookmarkEnd w:id="68"/>
      <w:r>
        <w:rPr>
          <w:sz w:val="20"/>
        </w:rPr>
        <w:t>).</w:t>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r>
    </w:p>
    <w:p>
      <w:pPr>
        <w:pStyle w:val="Normal"/>
        <w:spacing w:lineRule="auto" w:line="360" w:before="0" w:after="0"/>
        <w:jc w:val="both"/>
        <w:rPr>
          <w:rFonts w:ascii="Times New Roman" w:hAnsi="Times New Roman" w:cs="Times New Roman"/>
          <w:i/>
          <w:i/>
          <w:sz w:val="24"/>
          <w:szCs w:val="24"/>
        </w:rPr>
      </w:pPr>
      <w:r>
        <w:rPr>
          <w:rFonts w:cs="Times New Roman" w:ascii="Times New Roman" w:hAnsi="Times New Roman"/>
          <w:i/>
          <w:sz w:val="24"/>
          <w:szCs w:val="24"/>
        </w:rPr>
        <w:t>3.4.2.1 Pós fluxantes livre de flúor (fluorine-free)</w:t>
      </w:r>
      <w:bookmarkStart w:id="69" w:name="_Hlk156918255"/>
      <w:bookmarkEnd w:id="69"/>
    </w:p>
    <w:p>
      <w:pPr>
        <w:pStyle w:val="Normal"/>
        <w:spacing w:lineRule="auto" w:line="360" w:before="0" w:after="0"/>
        <w:jc w:val="both"/>
        <w:rPr>
          <w:rFonts w:ascii="Times New Roman" w:hAnsi="Times New Roman" w:cs="Times New Roman"/>
          <w:i/>
          <w:i/>
          <w:sz w:val="24"/>
          <w:szCs w:val="24"/>
        </w:rPr>
      </w:pPr>
      <w:r>
        <w:rPr>
          <w:rFonts w:cs="Times New Roman" w:ascii="Times New Roman" w:hAnsi="Times New Roman"/>
          <w:i/>
          <w:sz w:val="24"/>
          <w:szCs w:val="24"/>
        </w:rPr>
      </w:r>
    </w:p>
    <w:p>
      <w:pPr>
        <w:pStyle w:val="Normal"/>
        <w:spacing w:lineRule="auto" w:line="360" w:before="0" w:after="0"/>
        <w:ind w:firstLine="1134"/>
        <w:jc w:val="both"/>
        <w:rPr>
          <w:rFonts w:ascii="Times New Roman" w:hAnsi="Times New Roman"/>
          <w:sz w:val="24"/>
          <w:szCs w:val="24"/>
        </w:rPr>
      </w:pPr>
      <w:r>
        <w:rPr>
          <w:rFonts w:ascii="Times New Roman" w:hAnsi="Times New Roman"/>
          <w:sz w:val="24"/>
          <w:szCs w:val="24"/>
        </w:rPr>
        <w:t>O fluoreto de cálcio CaF</w:t>
      </w:r>
      <w:r>
        <w:rPr>
          <w:rFonts w:ascii="Times New Roman" w:hAnsi="Times New Roman"/>
          <w:sz w:val="24"/>
          <w:szCs w:val="24"/>
          <w:vertAlign w:val="subscript"/>
        </w:rPr>
        <w:t>2</w:t>
      </w:r>
      <w:r>
        <w:rPr>
          <w:rFonts w:ascii="Times New Roman" w:hAnsi="Times New Roman"/>
          <w:sz w:val="24"/>
          <w:szCs w:val="24"/>
        </w:rPr>
        <w:t>, promove a cristalização do filme de pó fluxante infiltrado no vazio molde/casca, favorecendo assim o controle do fluxo de calor horizontal durante o lingotamento contínuo, devido à formação de cristais cuspidina Ca</w:t>
      </w:r>
      <w:r>
        <w:rPr>
          <w:rFonts w:ascii="Times New Roman" w:hAnsi="Times New Roman"/>
          <w:sz w:val="24"/>
          <w:szCs w:val="24"/>
          <w:vertAlign w:val="subscript"/>
        </w:rPr>
        <w:t>4</w:t>
      </w:r>
      <w:r>
        <w:rPr>
          <w:rFonts w:ascii="Times New Roman" w:hAnsi="Times New Roman"/>
          <w:sz w:val="24"/>
          <w:szCs w:val="24"/>
        </w:rPr>
        <w:t>Si</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7</w:t>
      </w:r>
      <w:r>
        <w:rPr>
          <w:rFonts w:ascii="Times New Roman" w:hAnsi="Times New Roman"/>
          <w:sz w:val="24"/>
          <w:szCs w:val="24"/>
        </w:rPr>
        <w:t>F</w:t>
      </w:r>
      <w:r>
        <w:rPr>
          <w:rFonts w:ascii="Times New Roman" w:hAnsi="Times New Roman"/>
          <w:sz w:val="24"/>
          <w:szCs w:val="24"/>
          <w:vertAlign w:val="subscript"/>
        </w:rPr>
        <w:t>2</w:t>
      </w:r>
      <w:r>
        <w:rPr>
          <w:rFonts w:ascii="Times New Roman" w:hAnsi="Times New Roman"/>
          <w:sz w:val="24"/>
          <w:szCs w:val="24"/>
        </w:rPr>
        <w:t xml:space="preserve"> (Klug, 2012).</w:t>
      </w:r>
    </w:p>
    <w:p>
      <w:pPr>
        <w:pStyle w:val="Normal"/>
        <w:spacing w:lineRule="auto" w:line="360" w:before="0" w:after="0"/>
        <w:ind w:firstLine="1134"/>
        <w:jc w:val="both"/>
        <w:rPr>
          <w:rFonts w:ascii="Times New Roman" w:hAnsi="Times New Roman"/>
          <w:color w:val="000000"/>
          <w:sz w:val="24"/>
          <w:szCs w:val="24"/>
        </w:rPr>
      </w:pPr>
      <w:r>
        <w:rPr>
          <w:rFonts w:ascii="Times New Roman" w:hAnsi="Times New Roman"/>
          <w:color w:val="000000"/>
          <w:sz w:val="24"/>
          <w:szCs w:val="24"/>
        </w:rPr>
        <w:t xml:space="preserve">Conforme </w:t>
      </w:r>
      <w:bookmarkStart w:id="70" w:name="_Hlk156987611"/>
      <w:r>
        <w:rPr>
          <w:rFonts w:ascii="Times New Roman" w:hAnsi="Times New Roman"/>
          <w:color w:val="000000"/>
          <w:sz w:val="24"/>
          <w:szCs w:val="24"/>
        </w:rPr>
        <w:t>SCHULTZ et al. (2008</w:t>
      </w:r>
      <w:bookmarkEnd w:id="70"/>
      <w:r>
        <w:rPr>
          <w:rFonts w:ascii="Times New Roman" w:hAnsi="Times New Roman"/>
          <w:color w:val="000000"/>
          <w:sz w:val="24"/>
          <w:szCs w:val="24"/>
        </w:rPr>
        <w:t xml:space="preserve">), o uso do fluoreto de cálcio em pós fluxantes possui diversas vantagens que devem ser consideradas no desenvolvimento de pós fluxantes livres de flúor.  </w:t>
      </w:r>
    </w:p>
    <w:p>
      <w:pPr>
        <w:pStyle w:val="ListParagraph"/>
        <w:numPr>
          <w:ilvl w:val="0"/>
          <w:numId w:val="3"/>
        </w:numPr>
        <w:spacing w:lineRule="auto" w:line="360" w:before="0" w:after="0"/>
        <w:ind w:left="1134" w:hanging="0"/>
        <w:contextualSpacing/>
        <w:jc w:val="both"/>
        <w:rPr>
          <w:rFonts w:ascii="Times New Roman" w:hAnsi="Times New Roman"/>
          <w:color w:val="000000"/>
          <w:sz w:val="24"/>
          <w:szCs w:val="24"/>
        </w:rPr>
      </w:pPr>
      <w:r>
        <w:rPr>
          <w:rFonts w:ascii="Times New Roman" w:hAnsi="Times New Roman"/>
          <w:color w:val="000000"/>
          <w:sz w:val="24"/>
          <w:szCs w:val="24"/>
        </w:rPr>
        <w:t xml:space="preserve">Diminui a temperatura </w:t>
      </w:r>
      <w:r>
        <w:rPr>
          <w:rFonts w:ascii="Times New Roman" w:hAnsi="Times New Roman"/>
          <w:i/>
          <w:iCs/>
          <w:color w:val="000000"/>
          <w:sz w:val="24"/>
          <w:szCs w:val="24"/>
        </w:rPr>
        <w:t xml:space="preserve">liquidus </w:t>
      </w:r>
      <w:r>
        <w:rPr>
          <w:rFonts w:ascii="Times New Roman" w:hAnsi="Times New Roman"/>
          <w:color w:val="000000"/>
          <w:sz w:val="24"/>
          <w:szCs w:val="24"/>
        </w:rPr>
        <w:t>e a viscosidade de escórias do sistema CaO-SiO</w:t>
      </w:r>
      <w:r>
        <w:rPr>
          <w:rFonts w:ascii="Times New Roman" w:hAnsi="Times New Roman"/>
          <w:color w:val="000000"/>
          <w:sz w:val="24"/>
          <w:szCs w:val="24"/>
          <w:vertAlign w:val="subscript"/>
        </w:rPr>
        <w:t>2</w:t>
      </w:r>
      <w:r>
        <w:rPr>
          <w:rFonts w:ascii="Times New Roman" w:hAnsi="Times New Roman"/>
          <w:color w:val="000000"/>
          <w:sz w:val="24"/>
          <w:szCs w:val="24"/>
        </w:rPr>
        <w:t>-Al</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3</w:t>
      </w:r>
      <w:r>
        <w:rPr>
          <w:rFonts w:ascii="Times New Roman" w:hAnsi="Times New Roman"/>
          <w:color w:val="000000"/>
          <w:sz w:val="24"/>
          <w:szCs w:val="24"/>
        </w:rPr>
        <w:t xml:space="preserve">, promovendo a lubrificação necessária na interface entre molde e lingote; </w:t>
      </w:r>
    </w:p>
    <w:p>
      <w:pPr>
        <w:pStyle w:val="ListParagraph"/>
        <w:numPr>
          <w:ilvl w:val="0"/>
          <w:numId w:val="3"/>
        </w:numPr>
        <w:spacing w:lineRule="auto" w:line="360" w:before="0" w:after="0"/>
        <w:ind w:left="1134" w:hanging="0"/>
        <w:contextualSpacing/>
        <w:jc w:val="both"/>
        <w:rPr>
          <w:rFonts w:ascii="Times New Roman" w:hAnsi="Times New Roman"/>
          <w:color w:val="000000"/>
          <w:sz w:val="24"/>
          <w:szCs w:val="24"/>
        </w:rPr>
      </w:pPr>
      <w:r>
        <w:rPr>
          <w:rFonts w:ascii="Times New Roman" w:hAnsi="Times New Roman"/>
          <w:color w:val="000000"/>
          <w:sz w:val="24"/>
          <w:szCs w:val="24"/>
        </w:rPr>
        <w:t xml:space="preserve">Aumenta a tendência à cristalização, fator especialmente importante ao se considerar o lingotamento contínuo de placas de aços peritéticos; </w:t>
      </w:r>
    </w:p>
    <w:p>
      <w:pPr>
        <w:pStyle w:val="ListParagraph"/>
        <w:numPr>
          <w:ilvl w:val="0"/>
          <w:numId w:val="3"/>
        </w:numPr>
        <w:spacing w:lineRule="auto" w:line="360" w:before="0" w:after="0"/>
        <w:ind w:left="1134" w:hanging="0"/>
        <w:contextualSpacing/>
        <w:jc w:val="both"/>
        <w:rPr>
          <w:rFonts w:ascii="Times New Roman" w:hAnsi="Times New Roman"/>
          <w:color w:val="000000"/>
          <w:sz w:val="24"/>
          <w:szCs w:val="24"/>
        </w:rPr>
      </w:pPr>
      <w:r>
        <w:rPr>
          <w:rFonts w:ascii="Times New Roman" w:hAnsi="Times New Roman"/>
          <w:color w:val="000000"/>
          <w:sz w:val="24"/>
          <w:szCs w:val="24"/>
        </w:rPr>
        <w:t>A CaF</w:t>
      </w:r>
      <w:r>
        <w:rPr>
          <w:rFonts w:ascii="Times New Roman" w:hAnsi="Times New Roman"/>
          <w:color w:val="000000"/>
          <w:sz w:val="24"/>
          <w:szCs w:val="24"/>
          <w:vertAlign w:val="subscript"/>
        </w:rPr>
        <w:t>2</w:t>
      </w:r>
      <w:r>
        <w:rPr>
          <w:rFonts w:ascii="Times New Roman" w:hAnsi="Times New Roman"/>
          <w:color w:val="000000"/>
          <w:sz w:val="24"/>
          <w:szCs w:val="24"/>
        </w:rPr>
        <w:t xml:space="preserve"> não reage com carbono, não influenciando dessa forma na taxa de fusão de pós fluxantes; </w:t>
      </w:r>
    </w:p>
    <w:p>
      <w:pPr>
        <w:pStyle w:val="ListParagraph"/>
        <w:numPr>
          <w:ilvl w:val="0"/>
          <w:numId w:val="3"/>
        </w:numPr>
        <w:spacing w:lineRule="auto" w:line="360" w:before="0" w:after="0"/>
        <w:ind w:left="1134" w:hanging="0"/>
        <w:contextualSpacing/>
        <w:jc w:val="both"/>
        <w:rPr>
          <w:rFonts w:ascii="Times New Roman" w:hAnsi="Times New Roman"/>
          <w:sz w:val="24"/>
          <w:szCs w:val="24"/>
        </w:rPr>
      </w:pPr>
      <w:r>
        <w:rPr>
          <w:rFonts w:ascii="Times New Roman" w:hAnsi="Times New Roman"/>
          <w:sz w:val="24"/>
          <w:szCs w:val="24"/>
        </w:rPr>
        <w:t>Com a utilização de CaF</w:t>
      </w:r>
      <w:r>
        <w:rPr>
          <w:rFonts w:ascii="Times New Roman" w:hAnsi="Times New Roman"/>
          <w:sz w:val="24"/>
          <w:szCs w:val="24"/>
          <w:vertAlign w:val="subscript"/>
        </w:rPr>
        <w:t>2</w:t>
      </w:r>
      <w:r>
        <w:rPr>
          <w:rFonts w:ascii="Times New Roman" w:hAnsi="Times New Roman"/>
          <w:sz w:val="24"/>
          <w:szCs w:val="24"/>
        </w:rPr>
        <w:t xml:space="preserve"> não há tendência a reações redox (ocorre a transferência de elétrons) entre aço líquido e pó fluxante fundido; </w:t>
      </w:r>
    </w:p>
    <w:p>
      <w:pPr>
        <w:pStyle w:val="ListParagraph"/>
        <w:numPr>
          <w:ilvl w:val="0"/>
          <w:numId w:val="3"/>
        </w:numPr>
        <w:spacing w:lineRule="auto" w:line="360" w:before="0" w:after="0"/>
        <w:ind w:left="1134" w:hanging="0"/>
        <w:contextualSpacing/>
        <w:jc w:val="both"/>
        <w:rPr>
          <w:rFonts w:ascii="Times New Roman" w:hAnsi="Times New Roman"/>
          <w:color w:val="000000"/>
          <w:sz w:val="24"/>
          <w:szCs w:val="24"/>
        </w:rPr>
      </w:pPr>
      <w:r>
        <w:rPr>
          <w:rFonts w:ascii="Times New Roman" w:hAnsi="Times New Roman"/>
          <w:color w:val="000000"/>
          <w:sz w:val="24"/>
          <w:szCs w:val="24"/>
        </w:rPr>
        <w:t>A CaF</w:t>
      </w:r>
      <w:r>
        <w:rPr>
          <w:rFonts w:ascii="Times New Roman" w:hAnsi="Times New Roman"/>
          <w:color w:val="000000"/>
          <w:sz w:val="24"/>
          <w:szCs w:val="24"/>
          <w:vertAlign w:val="subscript"/>
        </w:rPr>
        <w:t>2</w:t>
      </w:r>
      <w:r>
        <w:rPr>
          <w:rFonts w:ascii="Times New Roman" w:hAnsi="Times New Roman"/>
          <w:color w:val="000000"/>
          <w:sz w:val="24"/>
          <w:szCs w:val="24"/>
        </w:rPr>
        <w:t xml:space="preserve"> possui comportamento positivo no que se refere à absorção de inclusões de aços, como Al</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3</w:t>
      </w:r>
      <w:r>
        <w:rPr>
          <w:rFonts w:ascii="Times New Roman" w:hAnsi="Times New Roman"/>
          <w:color w:val="000000"/>
          <w:sz w:val="24"/>
          <w:szCs w:val="24"/>
        </w:rPr>
        <w:t>);</w:t>
      </w:r>
    </w:p>
    <w:p>
      <w:pPr>
        <w:pStyle w:val="Corpodetexto"/>
        <w:spacing w:lineRule="auto" w:line="360" w:before="0" w:after="0"/>
        <w:ind w:right="112" w:firstLine="1134"/>
        <w:jc w:val="both"/>
        <w:rPr>
          <w:rFonts w:ascii="Times New Roman" w:hAnsi="Times New Roman" w:cs="Times New Roman"/>
          <w:sz w:val="24"/>
        </w:rPr>
      </w:pPr>
      <w:r>
        <w:rPr>
          <w:rFonts w:cs="Times New Roman" w:ascii="Times New Roman" w:hAnsi="Times New Roman"/>
          <w:sz w:val="24"/>
        </w:rPr>
        <w:t>Nos</w:t>
      </w:r>
      <w:r>
        <w:rPr>
          <w:rFonts w:cs="Times New Roman" w:ascii="Times New Roman" w:hAnsi="Times New Roman"/>
          <w:spacing w:val="1"/>
          <w:sz w:val="24"/>
        </w:rPr>
        <w:t xml:space="preserve"> </w:t>
      </w:r>
      <w:r>
        <w:rPr>
          <w:rFonts w:cs="Times New Roman" w:ascii="Times New Roman" w:hAnsi="Times New Roman"/>
          <w:sz w:val="24"/>
        </w:rPr>
        <w:t>últimos</w:t>
      </w:r>
      <w:r>
        <w:rPr>
          <w:rFonts w:cs="Times New Roman" w:ascii="Times New Roman" w:hAnsi="Times New Roman"/>
          <w:spacing w:val="1"/>
          <w:sz w:val="24"/>
        </w:rPr>
        <w:t xml:space="preserve"> </w:t>
      </w:r>
      <w:r>
        <w:rPr>
          <w:rFonts w:cs="Times New Roman" w:ascii="Times New Roman" w:hAnsi="Times New Roman"/>
          <w:sz w:val="24"/>
        </w:rPr>
        <w:t>anos</w:t>
      </w:r>
      <w:r>
        <w:rPr>
          <w:rFonts w:cs="Times New Roman" w:ascii="Times New Roman" w:hAnsi="Times New Roman"/>
          <w:spacing w:val="1"/>
          <w:sz w:val="24"/>
        </w:rPr>
        <w:t xml:space="preserve"> </w:t>
      </w:r>
      <w:r>
        <w:rPr>
          <w:rFonts w:cs="Times New Roman" w:ascii="Times New Roman" w:hAnsi="Times New Roman"/>
          <w:sz w:val="24"/>
        </w:rPr>
        <w:t>é</w:t>
      </w:r>
      <w:r>
        <w:rPr>
          <w:rFonts w:cs="Times New Roman" w:ascii="Times New Roman" w:hAnsi="Times New Roman"/>
          <w:spacing w:val="1"/>
          <w:sz w:val="24"/>
        </w:rPr>
        <w:t xml:space="preserve"> </w:t>
      </w:r>
      <w:r>
        <w:rPr>
          <w:rFonts w:cs="Times New Roman" w:ascii="Times New Roman" w:hAnsi="Times New Roman"/>
          <w:sz w:val="24"/>
        </w:rPr>
        <w:t>observada</w:t>
      </w:r>
      <w:r>
        <w:rPr>
          <w:rFonts w:cs="Times New Roman" w:ascii="Times New Roman" w:hAnsi="Times New Roman"/>
          <w:spacing w:val="1"/>
          <w:sz w:val="24"/>
        </w:rPr>
        <w:t xml:space="preserve"> </w:t>
      </w:r>
      <w:r>
        <w:rPr>
          <w:rFonts w:cs="Times New Roman" w:ascii="Times New Roman" w:hAnsi="Times New Roman"/>
          <w:sz w:val="24"/>
        </w:rPr>
        <w:t>uma</w:t>
      </w:r>
      <w:r>
        <w:rPr>
          <w:rFonts w:cs="Times New Roman" w:ascii="Times New Roman" w:hAnsi="Times New Roman"/>
          <w:spacing w:val="1"/>
          <w:sz w:val="24"/>
        </w:rPr>
        <w:t xml:space="preserve"> </w:t>
      </w:r>
      <w:r>
        <w:rPr>
          <w:rFonts w:cs="Times New Roman" w:ascii="Times New Roman" w:hAnsi="Times New Roman"/>
          <w:sz w:val="24"/>
        </w:rPr>
        <w:t>clara</w:t>
      </w:r>
      <w:r>
        <w:rPr>
          <w:rFonts w:cs="Times New Roman" w:ascii="Times New Roman" w:hAnsi="Times New Roman"/>
          <w:spacing w:val="1"/>
          <w:sz w:val="24"/>
        </w:rPr>
        <w:t xml:space="preserve"> </w:t>
      </w:r>
      <w:r>
        <w:rPr>
          <w:rFonts w:cs="Times New Roman" w:ascii="Times New Roman" w:hAnsi="Times New Roman"/>
          <w:sz w:val="24"/>
        </w:rPr>
        <w:t>tendência</w:t>
      </w:r>
      <w:r>
        <w:rPr>
          <w:rFonts w:cs="Times New Roman" w:ascii="Times New Roman" w:hAnsi="Times New Roman"/>
          <w:spacing w:val="1"/>
          <w:sz w:val="24"/>
        </w:rPr>
        <w:t xml:space="preserve"> </w:t>
      </w:r>
      <w:r>
        <w:rPr>
          <w:rFonts w:cs="Times New Roman" w:ascii="Times New Roman" w:hAnsi="Times New Roman"/>
          <w:sz w:val="24"/>
        </w:rPr>
        <w:t>na</w:t>
      </w:r>
      <w:r>
        <w:rPr>
          <w:rFonts w:cs="Times New Roman" w:ascii="Times New Roman" w:hAnsi="Times New Roman"/>
          <w:spacing w:val="1"/>
          <w:sz w:val="24"/>
        </w:rPr>
        <w:t xml:space="preserve"> </w:t>
      </w:r>
      <w:r>
        <w:rPr>
          <w:rFonts w:cs="Times New Roman" w:ascii="Times New Roman" w:hAnsi="Times New Roman"/>
          <w:sz w:val="24"/>
        </w:rPr>
        <w:t>indústria</w:t>
      </w:r>
      <w:r>
        <w:rPr>
          <w:rFonts w:cs="Times New Roman" w:ascii="Times New Roman" w:hAnsi="Times New Roman"/>
          <w:spacing w:val="1"/>
          <w:sz w:val="24"/>
        </w:rPr>
        <w:t xml:space="preserve"> </w:t>
      </w:r>
      <w:r>
        <w:rPr>
          <w:rFonts w:cs="Times New Roman" w:ascii="Times New Roman" w:hAnsi="Times New Roman"/>
          <w:sz w:val="24"/>
        </w:rPr>
        <w:t>em</w:t>
      </w:r>
      <w:r>
        <w:rPr>
          <w:rFonts w:cs="Times New Roman" w:ascii="Times New Roman" w:hAnsi="Times New Roman"/>
          <w:spacing w:val="1"/>
          <w:sz w:val="24"/>
        </w:rPr>
        <w:t xml:space="preserve"> </w:t>
      </w:r>
      <w:r>
        <w:rPr>
          <w:rFonts w:cs="Times New Roman" w:ascii="Times New Roman" w:hAnsi="Times New Roman"/>
          <w:sz w:val="24"/>
        </w:rPr>
        <w:t>encontrar</w:t>
      </w:r>
      <w:r>
        <w:rPr>
          <w:rFonts w:cs="Times New Roman" w:ascii="Times New Roman" w:hAnsi="Times New Roman"/>
          <w:spacing w:val="1"/>
          <w:sz w:val="24"/>
        </w:rPr>
        <w:t xml:space="preserve"> </w:t>
      </w:r>
      <w:r>
        <w:rPr>
          <w:rFonts w:cs="Times New Roman" w:ascii="Times New Roman" w:hAnsi="Times New Roman"/>
          <w:sz w:val="24"/>
        </w:rPr>
        <w:t>materiais</w:t>
      </w:r>
      <w:r>
        <w:rPr>
          <w:rFonts w:cs="Times New Roman" w:ascii="Times New Roman" w:hAnsi="Times New Roman"/>
          <w:spacing w:val="1"/>
          <w:sz w:val="24"/>
        </w:rPr>
        <w:t xml:space="preserve"> </w:t>
      </w:r>
      <w:r>
        <w:rPr>
          <w:rFonts w:cs="Times New Roman" w:ascii="Times New Roman" w:hAnsi="Times New Roman"/>
          <w:sz w:val="24"/>
        </w:rPr>
        <w:t>substitutos</w:t>
      </w:r>
      <w:r>
        <w:rPr>
          <w:rFonts w:cs="Times New Roman" w:ascii="Times New Roman" w:hAnsi="Times New Roman"/>
          <w:spacing w:val="21"/>
          <w:sz w:val="24"/>
        </w:rPr>
        <w:t xml:space="preserve"> </w:t>
      </w:r>
      <w:r>
        <w:rPr>
          <w:rFonts w:cs="Times New Roman" w:ascii="Times New Roman" w:hAnsi="Times New Roman"/>
          <w:sz w:val="24"/>
        </w:rPr>
        <w:t>do</w:t>
      </w:r>
      <w:r>
        <w:rPr>
          <w:rFonts w:cs="Times New Roman" w:ascii="Times New Roman" w:hAnsi="Times New Roman"/>
          <w:spacing w:val="22"/>
          <w:sz w:val="24"/>
        </w:rPr>
        <w:t xml:space="preserve"> </w:t>
      </w:r>
      <w:r>
        <w:rPr>
          <w:rFonts w:cs="Times New Roman" w:ascii="Times New Roman" w:hAnsi="Times New Roman"/>
          <w:sz w:val="24"/>
        </w:rPr>
        <w:t>flúor</w:t>
      </w:r>
      <w:r>
        <w:rPr>
          <w:rFonts w:cs="Times New Roman" w:ascii="Times New Roman" w:hAnsi="Times New Roman"/>
          <w:spacing w:val="22"/>
          <w:sz w:val="24"/>
        </w:rPr>
        <w:t xml:space="preserve"> </w:t>
      </w:r>
      <w:r>
        <w:rPr>
          <w:rFonts w:cs="Times New Roman" w:ascii="Times New Roman" w:hAnsi="Times New Roman"/>
          <w:sz w:val="24"/>
        </w:rPr>
        <w:t>nos</w:t>
      </w:r>
      <w:r>
        <w:rPr>
          <w:rFonts w:cs="Times New Roman" w:ascii="Times New Roman" w:hAnsi="Times New Roman"/>
          <w:spacing w:val="21"/>
          <w:sz w:val="24"/>
        </w:rPr>
        <w:t xml:space="preserve"> </w:t>
      </w:r>
      <w:r>
        <w:rPr>
          <w:rFonts w:cs="Times New Roman" w:ascii="Times New Roman" w:hAnsi="Times New Roman"/>
          <w:sz w:val="24"/>
        </w:rPr>
        <w:t>pós</w:t>
      </w:r>
      <w:r>
        <w:rPr>
          <w:rFonts w:cs="Times New Roman" w:ascii="Times New Roman" w:hAnsi="Times New Roman"/>
          <w:spacing w:val="21"/>
          <w:sz w:val="24"/>
        </w:rPr>
        <w:t xml:space="preserve"> </w:t>
      </w:r>
      <w:r>
        <w:rPr>
          <w:rFonts w:cs="Times New Roman" w:ascii="Times New Roman" w:hAnsi="Times New Roman"/>
          <w:sz w:val="24"/>
        </w:rPr>
        <w:t>fluxantes.</w:t>
      </w:r>
      <w:r>
        <w:rPr>
          <w:rFonts w:cs="Times New Roman" w:ascii="Times New Roman" w:hAnsi="Times New Roman"/>
          <w:spacing w:val="22"/>
          <w:sz w:val="24"/>
        </w:rPr>
        <w:t xml:space="preserve"> O</w:t>
      </w:r>
      <w:r>
        <w:rPr>
          <w:rFonts w:cs="Times New Roman" w:ascii="Times New Roman" w:hAnsi="Times New Roman"/>
          <w:sz w:val="24"/>
        </w:rPr>
        <w:t xml:space="preserve"> flúor presente nos pós fluxantes comerciais produz o ácido fluorídrico (HF), uma substância prejudicial à saúde dos operadores e meio ambiente. (Klug, 2012).</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As desvantagens abaixo, do uso do fluoreto de cálcio CaF</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explicam o grande interesse na pesquisa sobre a redução do teor de flúor nos pós fluxantes (</w:t>
      </w:r>
      <w:bookmarkStart w:id="71" w:name="_Hlk156987626"/>
      <w:r>
        <w:rPr>
          <w:rFonts w:cs="Times New Roman" w:ascii="Times New Roman" w:hAnsi="Times New Roman"/>
          <w:color w:val="000000"/>
          <w:sz w:val="24"/>
          <w:szCs w:val="24"/>
        </w:rPr>
        <w:t xml:space="preserve">Chilov, 2005; Schultz </w:t>
      </w:r>
      <w:r>
        <w:rPr>
          <w:rFonts w:cs="Times New Roman" w:ascii="Times New Roman" w:hAnsi="Times New Roman"/>
          <w:i/>
          <w:iCs/>
          <w:color w:val="000000"/>
          <w:sz w:val="24"/>
          <w:szCs w:val="24"/>
        </w:rPr>
        <w:t>et al.</w:t>
      </w:r>
      <w:r>
        <w:rPr>
          <w:rFonts w:cs="Times New Roman" w:ascii="Times New Roman" w:hAnsi="Times New Roman"/>
          <w:color w:val="000000"/>
          <w:sz w:val="24"/>
          <w:szCs w:val="24"/>
        </w:rPr>
        <w:t>, 2008</w:t>
      </w:r>
      <w:bookmarkEnd w:id="71"/>
      <w:r>
        <w:rPr>
          <w:rFonts w:cs="Times New Roman" w:ascii="Times New Roman" w:hAnsi="Times New Roman"/>
          <w:color w:val="000000"/>
          <w:sz w:val="24"/>
          <w:szCs w:val="24"/>
        </w:rPr>
        <w:t>).</w:t>
      </w:r>
    </w:p>
    <w:p>
      <w:pPr>
        <w:pStyle w:val="ListParagraph"/>
        <w:numPr>
          <w:ilvl w:val="0"/>
          <w:numId w:val="1"/>
        </w:numPr>
        <w:spacing w:lineRule="auto" w:line="360" w:before="0" w:after="0"/>
        <w:ind w:left="0" w:firstLine="1134"/>
        <w:contextualSpacing/>
        <w:jc w:val="both"/>
        <w:rPr>
          <w:rFonts w:ascii="Times New Roman" w:hAnsi="Times New Roman"/>
          <w:sz w:val="24"/>
          <w:szCs w:val="24"/>
        </w:rPr>
      </w:pPr>
      <w:r>
        <w:rPr>
          <w:rFonts w:ascii="Times New Roman" w:hAnsi="Times New Roman"/>
          <w:sz w:val="24"/>
          <w:szCs w:val="24"/>
        </w:rPr>
        <w:t>O uso de flúor em pós fluxantes fundidos silicosos pode levar a formação de compostos de flúor solúveis em água, principalmente o SiF</w:t>
      </w:r>
      <w:r>
        <w:rPr>
          <w:rFonts w:ascii="Times New Roman" w:hAnsi="Times New Roman"/>
          <w:sz w:val="24"/>
          <w:szCs w:val="24"/>
          <w:vertAlign w:val="subscript"/>
        </w:rPr>
        <w:t>4</w:t>
      </w:r>
      <w:r>
        <w:rPr>
          <w:rFonts w:ascii="Times New Roman" w:hAnsi="Times New Roman"/>
          <w:sz w:val="24"/>
          <w:szCs w:val="24"/>
        </w:rPr>
        <w:t>.</w:t>
      </w:r>
    </w:p>
    <w:p>
      <w:pPr>
        <w:pStyle w:val="ListParagraph"/>
        <w:numPr>
          <w:ilvl w:val="0"/>
          <w:numId w:val="1"/>
        </w:numPr>
        <w:spacing w:lineRule="auto" w:line="360" w:before="0" w:after="0"/>
        <w:ind w:left="0" w:firstLine="1134"/>
        <w:contextualSpacing/>
        <w:jc w:val="both"/>
        <w:rPr>
          <w:rFonts w:ascii="Times New Roman" w:hAnsi="Times New Roman"/>
          <w:color w:val="000000"/>
          <w:sz w:val="24"/>
          <w:szCs w:val="24"/>
        </w:rPr>
      </w:pPr>
      <w:r>
        <w:rPr>
          <w:rFonts w:ascii="Times New Roman" w:hAnsi="Times New Roman"/>
          <w:color w:val="000000"/>
          <w:sz w:val="24"/>
          <w:szCs w:val="24"/>
        </w:rPr>
        <w:t xml:space="preserve">Fluoretos evaporam facilmente a partir de escórias, produzindo substâncias gasosas prejudiciais à saúde (tal como ácido fluorídrico HF); </w:t>
      </w:r>
    </w:p>
    <w:p>
      <w:pPr>
        <w:pStyle w:val="ListParagraph"/>
        <w:numPr>
          <w:ilvl w:val="0"/>
          <w:numId w:val="1"/>
        </w:numPr>
        <w:spacing w:lineRule="auto" w:line="360" w:before="0" w:after="0"/>
        <w:ind w:left="1134" w:hanging="0"/>
        <w:contextualSpacing/>
        <w:jc w:val="both"/>
        <w:rPr>
          <w:rFonts w:ascii="Times New Roman" w:hAnsi="Times New Roman"/>
          <w:color w:val="000000"/>
          <w:sz w:val="24"/>
          <w:szCs w:val="24"/>
        </w:rPr>
      </w:pPr>
      <w:r>
        <w:rPr>
          <w:rFonts w:ascii="Times New Roman" w:hAnsi="Times New Roman"/>
          <w:color w:val="000000"/>
          <w:sz w:val="24"/>
          <w:szCs w:val="24"/>
        </w:rPr>
        <w:t xml:space="preserve">Problemas de armazenamento e utilização dos resíduos sólidos gerados; </w:t>
      </w:r>
    </w:p>
    <w:p>
      <w:pPr>
        <w:pStyle w:val="Normal"/>
        <w:spacing w:lineRule="auto" w:line="360" w:before="0" w:after="0"/>
        <w:ind w:firstLine="1134"/>
        <w:jc w:val="both"/>
        <w:rPr>
          <w:rFonts w:ascii="Times New Roman" w:hAnsi="Times New Roman"/>
          <w:sz w:val="24"/>
          <w:szCs w:val="24"/>
        </w:rPr>
      </w:pPr>
      <w:r>
        <w:rPr>
          <w:rFonts w:ascii="Times New Roman" w:hAnsi="Times New Roman"/>
          <w:sz w:val="24"/>
          <w:szCs w:val="24"/>
        </w:rPr>
        <w:t>Em maquinas de lingotamento contínuo, o flúor pode se acumular na água de resfriamento secundário, ocasionando assim a redução do valor do pH e favorecendo o desgaste dos componentes da planta e do equipamento (Klug, 2012).</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Alguns materiais que diminuem fortemente a viscosidade, podem ser utilizados a fim de substituir o flúor nos pós fluxantes, tais como Li</w:t>
      </w:r>
      <w:r>
        <w:rPr>
          <w:rFonts w:cs="Times New Roman" w:ascii="Times New Roman" w:hAnsi="Times New Roman"/>
          <w:sz w:val="24"/>
          <w:szCs w:val="24"/>
          <w:vertAlign w:val="subscript"/>
        </w:rPr>
        <w:t>2</w:t>
      </w:r>
      <w:r>
        <w:rPr>
          <w:rFonts w:cs="Times New Roman" w:ascii="Times New Roman" w:hAnsi="Times New Roman"/>
          <w:sz w:val="24"/>
          <w:szCs w:val="24"/>
        </w:rPr>
        <w:t>O, B</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xml:space="preserve"> e Na</w:t>
      </w:r>
      <w:r>
        <w:rPr>
          <w:rFonts w:cs="Times New Roman" w:ascii="Times New Roman" w:hAnsi="Times New Roman"/>
          <w:sz w:val="24"/>
          <w:szCs w:val="24"/>
          <w:vertAlign w:val="subscript"/>
        </w:rPr>
        <w:t>2</w:t>
      </w:r>
      <w:r>
        <w:rPr>
          <w:rFonts w:cs="Times New Roman" w:ascii="Times New Roman" w:hAnsi="Times New Roman"/>
          <w:sz w:val="24"/>
          <w:szCs w:val="24"/>
        </w:rPr>
        <w:t>O (Klug, 2012).</w:t>
      </w:r>
    </w:p>
    <w:p>
      <w:pPr>
        <w:pStyle w:val="Normal"/>
        <w:spacing w:lineRule="auto" w:line="360" w:before="0" w:after="0"/>
        <w:ind w:firstLine="1134"/>
        <w:jc w:val="both"/>
        <w:rPr>
          <w:rFonts w:ascii="Times New Roman" w:hAnsi="Times New Roman" w:cs="Times New Roman"/>
          <w:color w:val="00B0F0"/>
          <w:sz w:val="24"/>
        </w:rPr>
      </w:pPr>
      <w:r>
        <w:rPr>
          <w:rFonts w:cs="Times New Roman" w:ascii="Times New Roman" w:hAnsi="Times New Roman"/>
          <w:sz w:val="24"/>
          <w:szCs w:val="24"/>
        </w:rPr>
        <w:t xml:space="preserve">Dessa forma, conhecendo a cinética de cristalização, é possível desenvolver novos pós fluxantes livres de flúor no processo de lingotamento contínuo. </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1095" w:leader="none"/>
        </w:tabs>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 xml:space="preserve">3.4.3 Viscosidade </w:t>
      </w:r>
      <w:bookmarkStart w:id="72" w:name="_Hlk156918288"/>
      <w:bookmarkEnd w:id="72"/>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Pós fluxantes de viscosidade (</w:t>
      </w:r>
      <w:r>
        <w:rPr>
          <w:rFonts w:cs="Calibri"/>
          <w:i/>
          <w:sz w:val="24"/>
          <w:szCs w:val="24"/>
        </w:rPr>
        <w:t>ⴄ</w:t>
      </w:r>
      <w:r>
        <w:rPr>
          <w:rFonts w:cs="Times New Roman" w:ascii="Times New Roman" w:hAnsi="Times New Roman"/>
          <w:sz w:val="24"/>
          <w:szCs w:val="24"/>
        </w:rPr>
        <w:t xml:space="preserve">) muito baixa aceleram a transferência de calor na interface metal/molde, além de induzirem um aumento da profundidade das marcas de oscilação. Se a viscosidade do pó fluxante for insuficiente, a alimentação da interface metal molde é dificultada, aumentando a tendência de surgimento de trincas no produto lingotado ou mesmo o rompimento de pele durante o lingotamento. Se o pó fluxante apresentar espessura e viscosidade adequada, a extração de calor na parede do molde ocorre de maneira uniforme (Rizzo, 2006). </w:t>
      </w:r>
    </w:p>
    <w:p>
      <w:pPr>
        <w:pStyle w:val="Normal"/>
        <w:spacing w:lineRule="auto" w:line="360" w:before="0" w:after="0"/>
        <w:ind w:firstLine="1134"/>
        <w:jc w:val="both"/>
        <w:rPr>
          <w:rFonts w:ascii="Times New Roman" w:hAnsi="Times New Roman" w:cs="Times New Roman"/>
          <w:color w:val="000000"/>
          <w:sz w:val="24"/>
          <w:szCs w:val="23"/>
        </w:rPr>
      </w:pPr>
      <w:r>
        <w:rPr>
          <w:rFonts w:cs="Times New Roman" w:ascii="Times New Roman" w:hAnsi="Times New Roman"/>
          <w:color w:val="000000"/>
          <w:sz w:val="24"/>
          <w:szCs w:val="23"/>
        </w:rPr>
        <w:t xml:space="preserve">A viscosidade de um pó fluxante fundido é determinada primariamente pela sua temperatura e sua composição química. </w:t>
      </w:r>
      <w:r>
        <w:rPr>
          <w:rFonts w:cs="Times New Roman" w:ascii="Times New Roman" w:hAnsi="Times New Roman"/>
          <w:sz w:val="24"/>
          <w:szCs w:val="24"/>
        </w:rPr>
        <w:t>Segundo Pinheiro (1994) a influência da temperatura sobre a viscosidade de pós fluxantes é determinada pela equação de Arrhenius:</w:t>
      </w:r>
    </w:p>
    <w:p>
      <w:pPr>
        <w:pStyle w:val="Normal"/>
        <w:spacing w:lineRule="auto" w:line="360"/>
        <w:ind w:firstLine="1134"/>
        <w:jc w:val="both"/>
        <w:rPr>
          <w:rFonts w:ascii="Times New Roman" w:hAnsi="Times New Roman" w:cs="Times New Roman"/>
          <w:color w:val="000000"/>
          <w:sz w:val="24"/>
          <w:szCs w:val="24"/>
        </w:rPr>
      </w:pPr>
      <w:r>
        <w:rPr/>
      </w:r>
      <m:oMath xmlns:m="http://schemas.openxmlformats.org/officeDocument/2006/math">
        <m:r>
          <w:rPr>
            <w:rFonts w:ascii="Cambria Math" w:hAnsi="Cambria Math"/>
          </w:rPr>
          <m:t xml:space="preserve">ⴄ</m:t>
        </m:r>
        <m:r>
          <w:rPr>
            <w:rFonts w:ascii="Cambria Math" w:hAnsi="Cambria Math"/>
          </w:rPr>
          <m:t xml:space="preserve">=</m:t>
        </m:r>
        <m:r>
          <w:rPr>
            <w:rFonts w:ascii="Cambria Math" w:hAnsi="Cambria Math"/>
          </w:rPr>
          <m:t xml:space="preserve">A</m:t>
        </m:r>
        <m:sSup>
          <m:e>
            <m:r>
              <w:rPr>
                <w:rFonts w:ascii="Cambria Math" w:hAnsi="Cambria Math"/>
              </w:rPr>
              <m:t xml:space="preserve">e</m:t>
            </m:r>
          </m:e>
          <m:sup>
            <m:d>
              <m:dPr>
                <m:begChr m:val="("/>
                <m:endChr m:val=")"/>
              </m:dPr>
              <m:e>
                <m:f>
                  <m:num>
                    <m:r>
                      <w:rPr>
                        <w:rFonts w:ascii="Cambria Math" w:hAnsi="Cambria Math"/>
                      </w:rPr>
                      <m:t xml:space="preserve">Ea</m:t>
                    </m:r>
                  </m:num>
                  <m:den>
                    <m:r>
                      <w:rPr>
                        <w:rFonts w:ascii="Cambria Math" w:hAnsi="Cambria Math"/>
                      </w:rPr>
                      <m:t xml:space="preserve">RT</m:t>
                    </m:r>
                  </m:den>
                </m:f>
              </m:e>
            </m:d>
          </m:sup>
        </m:sSup>
      </m:oMath>
      <w:r>
        <w:rPr>
          <w:rFonts w:eastAsia="" w:cs="Times New Roman" w:ascii="Times New Roman" w:hAnsi="Times New Roman" w:eastAsiaTheme="minorEastAsia"/>
          <w:color w:val="000000"/>
          <w:sz w:val="24"/>
          <w:szCs w:val="24"/>
        </w:rPr>
        <w:t xml:space="preserve">                                                                                                                    </w:t>
      </w:r>
      <w:r>
        <w:rPr>
          <w:rFonts w:eastAsia="" w:cs="Times New Roman" w:ascii="Times New Roman" w:hAnsi="Times New Roman" w:eastAsiaTheme="minorEastAsia"/>
          <w:sz w:val="24"/>
          <w:szCs w:val="24"/>
        </w:rPr>
        <w:t>(1)</w:t>
      </w:r>
    </w:p>
    <w:p>
      <w:pPr>
        <w:pStyle w:val="Normal"/>
        <w:spacing w:lineRule="auto" w:line="360" w:before="0" w:after="0"/>
        <w:jc w:val="both"/>
        <w:rPr>
          <w:rFonts w:ascii="Times New Roman" w:hAnsi="Times New Roman" w:cs="Times New Roman"/>
          <w:b/>
          <w:b/>
          <w:i/>
          <w:i/>
          <w:sz w:val="24"/>
          <w:szCs w:val="24"/>
        </w:rPr>
      </w:pPr>
      <w:r>
        <w:rPr>
          <w:rFonts w:cs="Times New Roman" w:ascii="Times New Roman" w:hAnsi="Times New Roman"/>
          <w:sz w:val="24"/>
          <w:szCs w:val="24"/>
        </w:rPr>
        <w:t xml:space="preserve">onde </w:t>
      </w:r>
      <w:r>
        <w:rPr>
          <w:rFonts w:cs="Times New Roman" w:ascii="Times New Roman" w:hAnsi="Times New Roman"/>
          <w:b/>
          <w:sz w:val="24"/>
          <w:szCs w:val="24"/>
        </w:rPr>
        <w:t>A</w:t>
      </w:r>
      <w:r>
        <w:rPr>
          <w:rFonts w:cs="Times New Roman" w:ascii="Times New Roman" w:hAnsi="Times New Roman"/>
          <w:sz w:val="24"/>
          <w:szCs w:val="24"/>
        </w:rPr>
        <w:t xml:space="preserve"> é a Frequência de colisões, bem-sucedidas, das moléculas, </w:t>
      </w:r>
      <w:r>
        <w:rPr>
          <w:rFonts w:cs="Times New Roman" w:ascii="Times New Roman" w:hAnsi="Times New Roman"/>
          <w:b/>
          <w:sz w:val="24"/>
          <w:szCs w:val="24"/>
        </w:rPr>
        <w:t>Ea</w:t>
      </w:r>
      <w:r>
        <w:rPr>
          <w:rFonts w:cs="Times New Roman" w:ascii="Times New Roman" w:hAnsi="Times New Roman"/>
          <w:sz w:val="24"/>
          <w:szCs w:val="24"/>
        </w:rPr>
        <w:t xml:space="preserve"> é a energia de ativação para fluxo viscoso, </w:t>
      </w:r>
      <w:r>
        <w:rPr>
          <w:rFonts w:cs="Times New Roman" w:ascii="Times New Roman" w:hAnsi="Times New Roman"/>
          <w:b/>
          <w:sz w:val="24"/>
          <w:szCs w:val="24"/>
        </w:rPr>
        <w:t>R</w:t>
      </w:r>
      <w:r>
        <w:rPr>
          <w:rFonts w:cs="Times New Roman" w:ascii="Times New Roman" w:hAnsi="Times New Roman"/>
          <w:sz w:val="24"/>
          <w:szCs w:val="24"/>
        </w:rPr>
        <w:t xml:space="preserve"> é a constante real dos gases e </w:t>
      </w:r>
      <w:r>
        <w:rPr>
          <w:rFonts w:cs="Times New Roman" w:ascii="Times New Roman" w:hAnsi="Times New Roman"/>
          <w:b/>
          <w:sz w:val="24"/>
          <w:szCs w:val="24"/>
        </w:rPr>
        <w:t>T</w:t>
      </w:r>
      <w:r>
        <w:rPr>
          <w:rFonts w:cs="Times New Roman" w:ascii="Times New Roman" w:hAnsi="Times New Roman"/>
          <w:sz w:val="24"/>
          <w:szCs w:val="24"/>
        </w:rPr>
        <w:t xml:space="preserve"> é temperatura absoluta (K).</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A forma mais utilizada de representar a viscosidade é plotando o logaritmo de</w:t>
      </w:r>
      <w:r>
        <w:rPr>
          <w:rFonts w:cs="Calibri"/>
          <w:b/>
          <w:i/>
          <w:sz w:val="24"/>
          <w:szCs w:val="24"/>
        </w:rPr>
        <w:t xml:space="preserve"> ⴄ</w:t>
      </w:r>
      <w:r>
        <w:rPr>
          <w:rFonts w:cs="Times New Roman" w:ascii="Times New Roman" w:hAnsi="Times New Roman"/>
          <w:color w:val="000000"/>
          <w:sz w:val="24"/>
          <w:szCs w:val="24"/>
        </w:rPr>
        <w:t xml:space="preserve"> versus 1/T. A figura 16, ilustra uma curva típica de viscosidade versus temperatura para pós fluxantes comerciais.</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ind w:left="1701" w:hanging="0"/>
        <w:jc w:val="both"/>
        <w:rPr>
          <w:rFonts w:ascii="Times New Roman" w:hAnsi="Times New Roman" w:cs="Times New Roman"/>
          <w:sz w:val="24"/>
          <w:szCs w:val="24"/>
        </w:rPr>
      </w:pPr>
      <w:r>
        <w:rPr>
          <w:rFonts w:cs="Times New Roman" w:ascii="Times New Roman" w:hAnsi="Times New Roman"/>
          <w:sz w:val="24"/>
          <w:szCs w:val="24"/>
        </w:rPr>
        <w:t xml:space="preserve">Figura 16 - </w:t>
      </w:r>
      <w:r>
        <w:rPr>
          <w:rFonts w:cs="Times New Roman" w:ascii="Times New Roman" w:hAnsi="Times New Roman"/>
          <w:sz w:val="23"/>
          <w:szCs w:val="23"/>
        </w:rPr>
        <w:t>Dados reais da viscosidade de pós fluxantes</w:t>
      </w:r>
      <w:bookmarkStart w:id="73" w:name="_Hlk156893450"/>
      <w:bookmarkEnd w:id="73"/>
    </w:p>
    <w:p>
      <w:pPr>
        <w:pStyle w:val="Normal"/>
        <w:spacing w:lineRule="auto" w:line="360" w:before="0" w:after="0"/>
        <w:jc w:val="center"/>
        <w:rPr>
          <w:rFonts w:ascii="Times New Roman" w:hAnsi="Times New Roman" w:cs="Times New Roman"/>
          <w:sz w:val="24"/>
          <w:szCs w:val="24"/>
        </w:rPr>
      </w:pPr>
      <w:r>
        <w:rPr/>
        <w:drawing>
          <wp:inline distT="0" distB="1270" distL="0" distR="0">
            <wp:extent cx="3430905" cy="2171065"/>
            <wp:effectExtent l="0" t="0" r="0" b="0"/>
            <wp:docPr id="24" name="Imagem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40" descr=""/>
                    <pic:cNvPicPr>
                      <a:picLocks noChangeAspect="1" noChangeArrowheads="1"/>
                    </pic:cNvPicPr>
                  </pic:nvPicPr>
                  <pic:blipFill>
                    <a:blip r:embed="rId20"/>
                    <a:srcRect l="30994" t="34072" r="31658" b="17755"/>
                    <a:stretch>
                      <a:fillRect/>
                    </a:stretch>
                  </pic:blipFill>
                  <pic:spPr bwMode="auto">
                    <a:xfrm>
                      <a:off x="0" y="0"/>
                      <a:ext cx="3430905" cy="2171065"/>
                    </a:xfrm>
                    <a:prstGeom prst="rect">
                      <a:avLst/>
                    </a:prstGeom>
                  </pic:spPr>
                </pic:pic>
              </a:graphicData>
            </a:graphic>
          </wp:inline>
        </w:drawing>
      </w:r>
    </w:p>
    <w:p>
      <w:pPr>
        <w:pStyle w:val="Normal"/>
        <w:spacing w:lineRule="auto" w:line="240" w:before="0" w:after="0"/>
        <w:ind w:left="1701" w:hanging="0"/>
        <w:jc w:val="both"/>
        <w:rPr>
          <w:rFonts w:ascii="Times New Roman" w:hAnsi="Times New Roman" w:cs="Times New Roman"/>
          <w:sz w:val="20"/>
          <w:szCs w:val="24"/>
        </w:rPr>
      </w:pPr>
      <w:r>
        <w:rPr>
          <w:rFonts w:cs="Times New Roman" w:ascii="Times New Roman" w:hAnsi="Times New Roman"/>
          <w:sz w:val="20"/>
          <w:szCs w:val="24"/>
        </w:rPr>
        <w:t xml:space="preserve">Fonte: </w:t>
      </w:r>
      <w:bookmarkStart w:id="74" w:name="_Hlk156987650"/>
      <w:r>
        <w:rPr>
          <w:rFonts w:cs="Times New Roman" w:ascii="Times New Roman" w:hAnsi="Times New Roman"/>
          <w:sz w:val="20"/>
          <w:szCs w:val="23"/>
        </w:rPr>
        <w:t>SRIDHAR (2003</w:t>
      </w:r>
      <w:bookmarkEnd w:id="74"/>
      <w:r>
        <w:rPr>
          <w:rFonts w:cs="Times New Roman" w:ascii="Times New Roman" w:hAnsi="Times New Roman"/>
          <w:sz w:val="20"/>
          <w:szCs w:val="23"/>
        </w:rPr>
        <w:t>).</w:t>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 xml:space="preserve">Durante um ciclo de resfriamento, há um ponto em que a viscosidade aumenta repentinamente e a escória torna-se com comportamento não newtoniano. Isto refere-se a cristalização, solidificação e temperatura de ruptura ou </w:t>
      </w:r>
      <w:r>
        <w:rPr>
          <w:rFonts w:cs="Times New Roman" w:ascii="Times New Roman" w:hAnsi="Times New Roman"/>
          <w:i/>
          <w:sz w:val="24"/>
        </w:rPr>
        <w:t>break temperature</w:t>
      </w:r>
      <w:r>
        <w:rPr>
          <w:rFonts w:cs="Times New Roman" w:ascii="Times New Roman" w:hAnsi="Times New Roman"/>
          <w:sz w:val="24"/>
        </w:rPr>
        <w:t xml:space="preserve"> </w:t>
      </w:r>
      <w:r>
        <w:rPr>
          <w:rFonts w:cs="Times New Roman" w:ascii="Times New Roman" w:hAnsi="Times New Roman"/>
          <w:b/>
          <w:i/>
          <w:sz w:val="24"/>
        </w:rPr>
        <w:t>Tbr</w:t>
      </w:r>
      <w:r>
        <w:rPr>
          <w:rFonts w:cs="Times New Roman" w:ascii="Times New Roman" w:hAnsi="Times New Roman"/>
          <w:sz w:val="24"/>
        </w:rPr>
        <w:t>, que representa o ponto em que os sólidos são precipitados pela primeira vez no fundido (</w:t>
      </w:r>
      <w:r>
        <w:rPr>
          <w:rFonts w:cs="Times New Roman" w:ascii="Times New Roman" w:hAnsi="Times New Roman"/>
          <w:sz w:val="24"/>
          <w:szCs w:val="24"/>
        </w:rPr>
        <w:t>Sridhar et al., 2000)</w:t>
      </w:r>
      <w:r>
        <w:rPr>
          <w:rFonts w:cs="Times New Roman" w:ascii="Times New Roman" w:hAnsi="Times New Roman"/>
          <w:sz w:val="24"/>
        </w:rPr>
        <w:t xml:space="preserve">. </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sz w:val="24"/>
          <w:szCs w:val="24"/>
        </w:rPr>
        <w:t xml:space="preserve">A </w:t>
      </w:r>
      <w:r>
        <w:rPr>
          <w:rFonts w:cs="Times New Roman" w:ascii="Times New Roman" w:hAnsi="Times New Roman"/>
          <w:i/>
          <w:sz w:val="24"/>
          <w:szCs w:val="24"/>
        </w:rPr>
        <w:t>break temperature</w:t>
      </w:r>
      <w:r>
        <w:rPr>
          <w:rFonts w:cs="Times New Roman" w:ascii="Times New Roman" w:hAnsi="Times New Roman"/>
          <w:sz w:val="24"/>
          <w:szCs w:val="24"/>
        </w:rPr>
        <w:t xml:space="preserve"> </w:t>
      </w:r>
      <w:r>
        <w:rPr>
          <w:rFonts w:cs="Times New Roman" w:ascii="Times New Roman" w:hAnsi="Times New Roman"/>
          <w:b/>
          <w:i/>
          <w:sz w:val="24"/>
          <w:szCs w:val="24"/>
        </w:rPr>
        <w:t>Tbr</w:t>
      </w:r>
      <w:r>
        <w:rPr>
          <w:rFonts w:cs="Times New Roman" w:ascii="Times New Roman" w:hAnsi="Times New Roman"/>
          <w:sz w:val="24"/>
          <w:szCs w:val="24"/>
        </w:rPr>
        <w:t xml:space="preserve"> é a temperatura na qual um material vítreo ou cerâmico, ao ser aquecido, começa a perder sua rigidez estrutural e transita para um estado mais deformável. Nesta temperatura, o material pode sofrer uma significativa redução de viscosidade, o que resulta na sua "ruptura" do estado sólido para um estado onde a deformação plástica é possível (Callister, 2016).</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b/>
          <w:i/>
          <w:color w:val="000000"/>
          <w:sz w:val="24"/>
          <w:szCs w:val="24"/>
        </w:rPr>
        <w:t>Tbr</w:t>
      </w:r>
      <w:r>
        <w:rPr>
          <w:rFonts w:cs="Times New Roman" w:ascii="Times New Roman" w:hAnsi="Times New Roman"/>
          <w:color w:val="000000"/>
          <w:sz w:val="24"/>
          <w:szCs w:val="24"/>
        </w:rPr>
        <w:t xml:space="preserve"> está associada a uma mudança de comportamento reológico do pó fluxante, abaixo do qual o mesmo se comporta semelhante a um sólido (Pinheiro, 1994).</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color w:val="000000"/>
          <w:sz w:val="24"/>
          <w:szCs w:val="24"/>
        </w:rPr>
        <w:t xml:space="preserve">Pós fluxantes que tendem a formar cristais, há um aumento drástico da viscosidade durante o resfriamento. A temperatura na qual esse fenômeno ocorre é a </w:t>
      </w:r>
      <w:r>
        <w:rPr>
          <w:rFonts w:cs="Times New Roman" w:ascii="Times New Roman" w:hAnsi="Times New Roman"/>
          <w:i/>
          <w:color w:val="000000"/>
          <w:sz w:val="24"/>
          <w:szCs w:val="24"/>
        </w:rPr>
        <w:t>break temperature</w:t>
      </w:r>
      <w:r>
        <w:rPr>
          <w:rFonts w:cs="Times New Roman" w:ascii="Times New Roman" w:hAnsi="Times New Roman"/>
          <w:color w:val="000000"/>
          <w:sz w:val="24"/>
          <w:szCs w:val="24"/>
        </w:rPr>
        <w:t xml:space="preserve"> </w:t>
      </w:r>
      <w:r>
        <w:rPr>
          <w:rFonts w:cs="Times New Roman" w:ascii="Times New Roman" w:hAnsi="Times New Roman"/>
          <w:b/>
          <w:i/>
          <w:color w:val="000000"/>
          <w:sz w:val="24"/>
          <w:szCs w:val="24"/>
        </w:rPr>
        <w:t>Tbr</w:t>
      </w:r>
      <w:r>
        <w:rPr>
          <w:rFonts w:cs="Times New Roman" w:ascii="Times New Roman" w:hAnsi="Times New Roman"/>
          <w:color w:val="000000"/>
          <w:sz w:val="24"/>
          <w:szCs w:val="24"/>
        </w:rPr>
        <w:t xml:space="preserve"> do pó fluxante (Mills et al., 2005).</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color w:val="000000"/>
          <w:sz w:val="24"/>
          <w:szCs w:val="24"/>
        </w:rPr>
        <w:t>Elas são importante</w:t>
      </w:r>
      <w:r>
        <w:rPr>
          <w:rFonts w:cs="Times New Roman" w:ascii="Times New Roman" w:hAnsi="Times New Roman"/>
          <w:sz w:val="24"/>
        </w:rPr>
        <w:t>s, pois ajudam a controlar a transferência de calor horizontal e a lubrificação entre a casca de aço e o molde e, consequentemente, afetam as ocorrências de trincas longitudinais e quebra de cascas no lingotamento contínuo (</w:t>
      </w:r>
      <w:r>
        <w:rPr>
          <w:rFonts w:cs="Times New Roman" w:ascii="Times New Roman" w:hAnsi="Times New Roman"/>
          <w:sz w:val="24"/>
          <w:szCs w:val="24"/>
        </w:rPr>
        <w:t>Sridhar et al., 2000)</w:t>
      </w:r>
      <w:r>
        <w:rPr>
          <w:rFonts w:cs="Times New Roman" w:ascii="Times New Roman" w:hAnsi="Times New Roman"/>
          <w:sz w:val="24"/>
        </w:rPr>
        <w:t>.</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jc w:val="both"/>
        <w:rPr>
          <w:rFonts w:ascii="Times New Roman" w:hAnsi="Times New Roman" w:cs="Times New Roman"/>
          <w:b/>
          <w:b/>
          <w:sz w:val="24"/>
          <w:szCs w:val="23"/>
        </w:rPr>
      </w:pPr>
      <w:r>
        <w:rPr>
          <w:rFonts w:cs="Times New Roman" w:ascii="Times New Roman" w:hAnsi="Times New Roman"/>
          <w:b/>
          <w:sz w:val="24"/>
          <w:szCs w:val="23"/>
        </w:rPr>
        <w:t>3.4.4 Basicidade</w:t>
      </w:r>
      <w:bookmarkStart w:id="75" w:name="_Hlk156918318"/>
      <w:bookmarkEnd w:id="75"/>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color w:val="000000"/>
          <w:sz w:val="24"/>
          <w:szCs w:val="24"/>
        </w:rPr>
        <w:t>O índice de basicidade (</w:t>
      </w:r>
      <w:r>
        <w:rPr>
          <w:rFonts w:cs="Times New Roman" w:ascii="Times New Roman" w:hAnsi="Times New Roman"/>
          <w:i/>
          <w:color w:val="000000"/>
          <w:sz w:val="24"/>
          <w:szCs w:val="24"/>
        </w:rPr>
        <w:t>Bi</w:t>
      </w:r>
      <w:r>
        <w:rPr>
          <w:rFonts w:cs="Times New Roman" w:ascii="Times New Roman" w:hAnsi="Times New Roman"/>
          <w:color w:val="000000"/>
          <w:sz w:val="24"/>
          <w:szCs w:val="24"/>
        </w:rPr>
        <w:t xml:space="preserve">) relaciona a porcentagem de elementos básicos da mistura com a porcentagem de elementos ácidos. O índice de basicidade pode ser calculado pela equação 2, </w:t>
      </w:r>
      <w:r>
        <w:rPr>
          <w:rFonts w:cs="Times New Roman" w:ascii="Times New Roman" w:hAnsi="Times New Roman"/>
          <w:sz w:val="24"/>
          <w:szCs w:val="24"/>
        </w:rPr>
        <w:t>que somente mostra a relação entre CaO e SiO</w:t>
      </w:r>
      <w:r>
        <w:rPr>
          <w:rFonts w:cs="Times New Roman" w:ascii="Times New Roman" w:hAnsi="Times New Roman"/>
          <w:sz w:val="24"/>
          <w:szCs w:val="24"/>
          <w:vertAlign w:val="subscript"/>
        </w:rPr>
        <w:t>2</w:t>
      </w:r>
      <w:r>
        <w:rPr>
          <w:rFonts w:cs="Times New Roman" w:ascii="Times New Roman" w:hAnsi="Times New Roman"/>
          <w:sz w:val="24"/>
          <w:szCs w:val="24"/>
        </w:rPr>
        <w:t xml:space="preserve"> e pode ser também utilizada como referência para fazer o controle dos processos. </w:t>
      </w:r>
      <w:r>
        <w:rPr>
          <w:rFonts w:cs="Times New Roman" w:ascii="Times New Roman" w:hAnsi="Times New Roman"/>
          <w:color w:val="000000"/>
          <w:sz w:val="24"/>
          <w:szCs w:val="24"/>
        </w:rPr>
        <w:t>(Garcia, 2006).</w:t>
      </w:r>
      <w:r>
        <w:rPr>
          <w:rFonts w:cs="Times New Roman" w:ascii="Times New Roman" w:hAnsi="Times New Roman"/>
          <w:color w:val="FF0000"/>
          <w:sz w:val="24"/>
          <w:szCs w:val="24"/>
        </w:rPr>
        <w:t xml:space="preserve"> </w:t>
      </w:r>
    </w:p>
    <w:p>
      <w:pPr>
        <w:pStyle w:val="Normal"/>
        <w:spacing w:lineRule="auto" w:line="360" w:before="0" w:after="0"/>
        <w:ind w:firstLine="1134"/>
        <w:jc w:val="both"/>
        <w:rPr>
          <w:rFonts w:ascii="Times New Roman" w:hAnsi="Times New Roman" w:cs="Times New Roman"/>
          <w:sz w:val="24"/>
          <w:szCs w:val="24"/>
        </w:rPr>
      </w:pPr>
      <w:r>
        <w:rPr/>
      </w:r>
      <m:oMath xmlns:m="http://schemas.openxmlformats.org/officeDocument/2006/math">
        <m:sSub>
          <m:e>
            <m:r>
              <w:rPr>
                <w:rFonts w:ascii="Cambria Math" w:hAnsi="Cambria Math"/>
              </w:rPr>
              <m:t xml:space="preserve">B</m:t>
            </m:r>
          </m:e>
          <m:sub>
            <m:r>
              <w:rPr>
                <w:rFonts w:ascii="Cambria Math" w:hAnsi="Cambria Math"/>
              </w:rPr>
              <m:t xml:space="preserve">i</m:t>
            </m:r>
          </m:sub>
        </m:sSub>
        <m:r>
          <w:rPr>
            <w:rFonts w:ascii="Cambria Math" w:hAnsi="Cambria Math"/>
          </w:rPr>
          <m:t xml:space="preserve">=</m:t>
        </m:r>
        <m:sSub>
          <m:e>
            <m:f>
              <m:fPr>
                <m:type m:val="lin"/>
              </m:fPr>
              <m:num>
                <m:r>
                  <w:rPr>
                    <w:rFonts w:ascii="Cambria Math" w:hAnsi="Cambria Math"/>
                  </w:rPr>
                  <m:t xml:space="preserve">%CaO</m:t>
                </m:r>
              </m:num>
              <m:den>
                <m:r>
                  <w:rPr>
                    <w:rFonts w:ascii="Cambria Math" w:hAnsi="Cambria Math"/>
                  </w:rPr>
                  <m:t xml:space="preserve">%SiO</m:t>
                </m:r>
              </m:den>
            </m:f>
          </m:e>
          <m:sub>
            <m:r>
              <w:rPr>
                <w:rFonts w:ascii="Cambria Math" w:hAnsi="Cambria Math"/>
              </w:rPr>
              <m:t xml:space="preserve">2</m:t>
            </m:r>
          </m:sub>
        </m:sSub>
      </m:oMath>
      <w:r>
        <w:rPr>
          <w:rFonts w:eastAsia="" w:cs="Times New Roman" w:ascii="Times New Roman" w:hAnsi="Times New Roman" w:eastAsiaTheme="minorEastAsia"/>
          <w:sz w:val="24"/>
        </w:rPr>
        <w:t xml:space="preserve">                                                                                           </w:t>
      </w:r>
      <w:r>
        <w:rPr>
          <w:rFonts w:eastAsia="" w:cs="Times New Roman" w:ascii="Times New Roman" w:hAnsi="Times New Roman" w:eastAsiaTheme="minorEastAsia"/>
          <w:sz w:val="24"/>
        </w:rPr>
        <w:t>(2)</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Segundo Yu et al. (2009), a basicidade das escórias aumenta em decorrência das interações químicas entre estas e metal líquido. Escórias com basicidade inferior a 1,4 são escórias ácidas e viscosidade superior a 1,4 escórias bases e mais refratárias. Teores baixos de alumina atuam como base, fornecendo O</w:t>
      </w:r>
      <w:r>
        <w:rPr>
          <w:rFonts w:cs="Times New Roman" w:ascii="Times New Roman" w:hAnsi="Times New Roman"/>
          <w:sz w:val="24"/>
          <w:szCs w:val="24"/>
          <w:vertAlign w:val="subscript"/>
        </w:rPr>
        <w:t>2</w:t>
      </w:r>
      <w:r>
        <w:rPr>
          <w:rFonts w:cs="Times New Roman" w:ascii="Times New Roman" w:hAnsi="Times New Roman"/>
          <w:sz w:val="24"/>
          <w:szCs w:val="24"/>
        </w:rPr>
        <w:t xml:space="preserve"> e reduzindo a viscosidade. </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 xml:space="preserve">Segundo </w:t>
      </w:r>
      <w:bookmarkStart w:id="76" w:name="_Hlk156987663"/>
      <w:r>
        <w:rPr>
          <w:rFonts w:cs="Times New Roman" w:ascii="Times New Roman" w:hAnsi="Times New Roman"/>
          <w:sz w:val="24"/>
        </w:rPr>
        <w:t>Irving (1993</w:t>
      </w:r>
      <w:bookmarkEnd w:id="76"/>
      <w:r>
        <w:rPr>
          <w:rFonts w:cs="Times New Roman" w:ascii="Times New Roman" w:hAnsi="Times New Roman"/>
          <w:sz w:val="24"/>
        </w:rPr>
        <w:t>), a formação de uma escória com maior basicidade proporciona melhor absorção de inclusões e o aumento da temperatura de cristalização, aspectos esperados para pós fluxantes utilizados no lingotamento de aços peritéticos.</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r>
    </w:p>
    <w:p>
      <w:pPr>
        <w:pStyle w:val="Normal"/>
        <w:tabs>
          <w:tab w:val="left" w:pos="7088" w:leader="none"/>
        </w:tabs>
        <w:spacing w:lineRule="auto" w:line="240" w:before="0" w:after="0"/>
        <w:ind w:left="1985" w:right="2126" w:hanging="0"/>
        <w:jc w:val="both"/>
        <w:rPr>
          <w:rFonts w:ascii="Times New Roman" w:hAnsi="Times New Roman" w:cs="Times New Roman"/>
          <w:sz w:val="24"/>
        </w:rPr>
      </w:pPr>
      <w:r>
        <w:rPr>
          <w:rFonts w:cs="Times New Roman" w:ascii="Times New Roman" w:hAnsi="Times New Roman"/>
          <w:sz w:val="24"/>
        </w:rPr>
        <w:t>Figura 17 - Relação índice de basicidade (Bi) e taxa de absorção de inclusões de alumina.</w:t>
      </w:r>
      <w:bookmarkStart w:id="77" w:name="_Hlk156893468"/>
      <w:bookmarkEnd w:id="77"/>
    </w:p>
    <w:p>
      <w:pPr>
        <w:pStyle w:val="Normal"/>
        <w:spacing w:lineRule="auto" w:line="360" w:before="0" w:after="0"/>
        <w:jc w:val="center"/>
        <w:rPr>
          <w:rFonts w:ascii="Times New Roman" w:hAnsi="Times New Roman" w:cs="Times New Roman"/>
          <w:b/>
          <w:b/>
          <w:sz w:val="24"/>
          <w:szCs w:val="24"/>
        </w:rPr>
      </w:pPr>
      <w:r>
        <w:rPr/>
        <w:drawing>
          <wp:inline distT="0" distB="0" distL="0" distR="1905">
            <wp:extent cx="3103245" cy="2194560"/>
            <wp:effectExtent l="0" t="0" r="0" b="0"/>
            <wp:docPr id="25"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1" descr=""/>
                    <pic:cNvPicPr>
                      <a:picLocks noChangeAspect="1" noChangeArrowheads="1"/>
                    </pic:cNvPicPr>
                  </pic:nvPicPr>
                  <pic:blipFill>
                    <a:blip r:embed="rId21"/>
                    <a:srcRect l="52230" t="43261" r="14337" b="12298"/>
                    <a:stretch>
                      <a:fillRect/>
                    </a:stretch>
                  </pic:blipFill>
                  <pic:spPr bwMode="auto">
                    <a:xfrm>
                      <a:off x="0" y="0"/>
                      <a:ext cx="3103245" cy="2194560"/>
                    </a:xfrm>
                    <a:prstGeom prst="rect">
                      <a:avLst/>
                    </a:prstGeom>
                  </pic:spPr>
                </pic:pic>
              </a:graphicData>
            </a:graphic>
          </wp:inline>
        </w:drawing>
      </w:r>
    </w:p>
    <w:p>
      <w:pPr>
        <w:pStyle w:val="Normal"/>
        <w:spacing w:lineRule="auto" w:line="360" w:before="0" w:after="0"/>
        <w:ind w:left="1985" w:hanging="0"/>
        <w:jc w:val="both"/>
        <w:rPr>
          <w:rFonts w:ascii="Times New Roman" w:hAnsi="Times New Roman" w:cs="Times New Roman"/>
          <w:sz w:val="20"/>
        </w:rPr>
      </w:pPr>
      <w:r>
        <w:rPr>
          <w:rFonts w:cs="Times New Roman" w:ascii="Times New Roman" w:hAnsi="Times New Roman"/>
          <w:sz w:val="20"/>
        </w:rPr>
        <w:t>Fonte: GARCIA (2006).</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A baixa basicidade do pó fluxante contribui para a diminuição da ocorrência de </w:t>
      </w:r>
      <w:r>
        <w:rPr>
          <w:rFonts w:cs="Times New Roman" w:ascii="Times New Roman" w:hAnsi="Times New Roman"/>
          <w:i/>
          <w:iCs/>
          <w:sz w:val="24"/>
          <w:szCs w:val="24"/>
        </w:rPr>
        <w:t xml:space="preserve">breakout </w:t>
      </w:r>
      <w:r>
        <w:rPr>
          <w:rFonts w:cs="Times New Roman" w:ascii="Times New Roman" w:hAnsi="Times New Roman"/>
          <w:sz w:val="24"/>
          <w:szCs w:val="24"/>
        </w:rPr>
        <w:t xml:space="preserve">pelo fato de a escória vítrea apresentar resistência térmica menor do que a cristalina favorecendo então a formação de uma casca sólida mais espessa (Mills et al., 1991). </w:t>
      </w:r>
      <w:bookmarkStart w:id="78" w:name="_Hlk156987673"/>
      <w:bookmarkEnd w:id="78"/>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3.5 Cinética de cristalização de pó fluxante</w:t>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both"/>
        <w:rPr>
          <w:rFonts w:ascii="Times New Roman" w:hAnsi="Times New Roman" w:cs="Times New Roman"/>
          <w:b/>
          <w:b/>
          <w:i/>
          <w:i/>
          <w:sz w:val="24"/>
          <w:szCs w:val="24"/>
        </w:rPr>
      </w:pPr>
      <w:r>
        <w:rPr>
          <w:rFonts w:cs="Times New Roman" w:ascii="Times New Roman" w:hAnsi="Times New Roman"/>
          <w:b/>
          <w:i/>
          <w:sz w:val="24"/>
          <w:szCs w:val="24"/>
        </w:rPr>
        <w:t>3.5.1 Cristalização</w:t>
      </w:r>
      <w:bookmarkStart w:id="79" w:name="_Hlk156918369"/>
      <w:bookmarkEnd w:id="79"/>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temperatura de transição vítrea (Tg) é a temperatura na qual um material amorfo, como vidro ou certos polímeros, passa de um estado rígido e vítreo para um estado mais flexível e borrachoso. Esse fenômeno ocorre devido à mobilidade das cadeias moleculares no material. Quando um material é resfriado abaixo da Tg, suas moléculas ficam "congeladas" em posições desordenadas, formando uma estrutura vítrea rígida e quebradiça. Acima da Tg, as moléculas têm mais liberdade de movimento, o que permite que o material se torne mais maleável e flexível (Shackelford, 2008).</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figura 18 mostra a região de transformação vítrea é a faixa de temperatura em que cada vidro apresenta um comportamento de mudança de fase em função do tempo.</w:t>
      </w:r>
    </w:p>
    <w:p>
      <w:pPr>
        <w:pStyle w:val="Normal"/>
        <w:tabs>
          <w:tab w:val="left" w:pos="7513" w:leader="none"/>
        </w:tabs>
        <w:spacing w:lineRule="auto" w:line="360" w:before="0" w:after="0"/>
        <w:ind w:left="1418" w:right="1416" w:hanging="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7513" w:leader="none"/>
        </w:tabs>
        <w:spacing w:lineRule="auto" w:line="360" w:before="0" w:after="0"/>
        <w:ind w:left="993" w:right="142" w:hanging="0"/>
        <w:jc w:val="both"/>
        <w:rPr>
          <w:rFonts w:ascii="Times New Roman" w:hAnsi="Times New Roman" w:cs="Times New Roman"/>
          <w:sz w:val="24"/>
          <w:szCs w:val="24"/>
        </w:rPr>
      </w:pPr>
      <w:r>
        <w:rPr>
          <w:rFonts w:cs="Times New Roman" w:ascii="Times New Roman" w:hAnsi="Times New Roman"/>
          <w:sz w:val="24"/>
          <w:szCs w:val="24"/>
        </w:rPr>
        <w:t>Figura 18 - Região de transformação vítrea.</w:t>
      </w:r>
      <w:bookmarkStart w:id="80" w:name="_Hlk152059617"/>
      <w:bookmarkEnd w:id="80"/>
    </w:p>
    <w:p>
      <w:pPr>
        <w:pStyle w:val="Normal"/>
        <w:spacing w:lineRule="auto" w:line="360" w:before="0" w:after="0"/>
        <w:jc w:val="center"/>
        <w:rPr>
          <w:rFonts w:ascii="Times New Roman" w:hAnsi="Times New Roman" w:cs="Times New Roman"/>
          <w:color w:val="FF0000"/>
          <w:sz w:val="24"/>
          <w:szCs w:val="24"/>
        </w:rPr>
      </w:pPr>
      <w:r>
        <w:rPr/>
        <w:drawing>
          <wp:inline distT="0" distB="7620" distL="0" distR="0">
            <wp:extent cx="4194175" cy="3021330"/>
            <wp:effectExtent l="0" t="0" r="0" b="0"/>
            <wp:docPr id="26" name="Imagem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3" descr=""/>
                    <pic:cNvPicPr>
                      <a:picLocks noChangeAspect="1" noChangeArrowheads="1"/>
                    </pic:cNvPicPr>
                  </pic:nvPicPr>
                  <pic:blipFill>
                    <a:blip r:embed="rId22"/>
                    <a:srcRect l="12060" t="0" r="9897" b="0"/>
                    <a:stretch>
                      <a:fillRect/>
                    </a:stretch>
                  </pic:blipFill>
                  <pic:spPr bwMode="auto">
                    <a:xfrm>
                      <a:off x="0" y="0"/>
                      <a:ext cx="4194175" cy="3021330"/>
                    </a:xfrm>
                    <a:prstGeom prst="rect">
                      <a:avLst/>
                    </a:prstGeom>
                  </pic:spPr>
                </pic:pic>
              </a:graphicData>
            </a:graphic>
          </wp:inline>
        </w:drawing>
      </w:r>
    </w:p>
    <w:p>
      <w:pPr>
        <w:pStyle w:val="Normal"/>
        <w:spacing w:lineRule="auto" w:line="360" w:before="0" w:after="0"/>
        <w:ind w:left="993" w:hanging="0"/>
        <w:jc w:val="both"/>
        <w:rPr>
          <w:rFonts w:ascii="Times New Roman" w:hAnsi="Times New Roman" w:cs="Times New Roman"/>
          <w:sz w:val="20"/>
          <w:szCs w:val="24"/>
        </w:rPr>
      </w:pPr>
      <w:r>
        <w:rPr>
          <w:rFonts w:cs="Times New Roman" w:ascii="Times New Roman" w:hAnsi="Times New Roman"/>
          <w:sz w:val="20"/>
          <w:szCs w:val="24"/>
        </w:rPr>
        <w:t>Fonte: SHELBY (2005, com adaptações).</w:t>
      </w:r>
    </w:p>
    <w:p>
      <w:pPr>
        <w:pStyle w:val="Normal"/>
        <w:spacing w:lineRule="auto" w:line="360" w:before="0" w:after="0"/>
        <w:ind w:firstLine="1134"/>
        <w:jc w:val="both"/>
        <w:rPr>
          <w:rFonts w:ascii="Times New Roman" w:hAnsi="Times New Roman" w:cs="Times New Roman"/>
          <w:color w:val="000000"/>
          <w:sz w:val="23"/>
          <w:szCs w:val="23"/>
        </w:rPr>
      </w:pPr>
      <w:r>
        <w:rPr>
          <w:rFonts w:cs="Times New Roman" w:ascii="Times New Roman" w:hAnsi="Times New Roman"/>
          <w:color w:val="000000"/>
          <w:sz w:val="24"/>
          <w:szCs w:val="24"/>
        </w:rPr>
        <w:t xml:space="preserve">Segundo </w:t>
      </w:r>
      <w:bookmarkStart w:id="81" w:name="_Hlk156987695"/>
      <w:r>
        <w:rPr>
          <w:rFonts w:cs="Times New Roman" w:ascii="Times New Roman" w:hAnsi="Times New Roman"/>
          <w:color w:val="000000"/>
          <w:sz w:val="24"/>
          <w:szCs w:val="24"/>
        </w:rPr>
        <w:t>Zanotto e Mauro (2017</w:t>
      </w:r>
      <w:bookmarkEnd w:id="81"/>
      <w:r>
        <w:rPr>
          <w:rFonts w:cs="Times New Roman" w:ascii="Times New Roman" w:hAnsi="Times New Roman"/>
          <w:color w:val="000000"/>
          <w:sz w:val="24"/>
          <w:szCs w:val="24"/>
        </w:rPr>
        <w:t>), e</w:t>
      </w:r>
      <w:r>
        <w:rPr>
          <w:rFonts w:cs="Times New Roman" w:ascii="Times New Roman" w:hAnsi="Times New Roman"/>
          <w:color w:val="000000"/>
          <w:sz w:val="23"/>
          <w:szCs w:val="23"/>
        </w:rPr>
        <w:t xml:space="preserve">m equilíbrio, os líquidos termodinamicamente estáveis só existem acima do ponto de fusão ou da </w:t>
      </w:r>
      <w:bookmarkStart w:id="82" w:name="_Hlk156900697"/>
      <w:r>
        <w:rPr>
          <w:rFonts w:cs="Times New Roman" w:ascii="Times New Roman" w:hAnsi="Times New Roman"/>
          <w:color w:val="000000"/>
          <w:sz w:val="23"/>
          <w:szCs w:val="23"/>
        </w:rPr>
        <w:t xml:space="preserve">temperatura </w:t>
      </w:r>
      <w:r>
        <w:rPr>
          <w:rFonts w:cs="Times New Roman" w:ascii="Times New Roman" w:hAnsi="Times New Roman"/>
          <w:i/>
          <w:color w:val="000000"/>
          <w:sz w:val="23"/>
          <w:szCs w:val="23"/>
        </w:rPr>
        <w:t>liquidus</w:t>
      </w:r>
      <w:bookmarkEnd w:id="82"/>
      <w:r>
        <w:rPr>
          <w:rFonts w:cs="Times New Roman" w:ascii="Times New Roman" w:hAnsi="Times New Roman"/>
          <w:i/>
          <w:color w:val="000000"/>
          <w:sz w:val="23"/>
          <w:szCs w:val="23"/>
        </w:rPr>
        <w:t xml:space="preserve">, </w:t>
      </w:r>
      <w:r>
        <w:rPr>
          <w:rFonts w:cs="Times New Roman" w:ascii="Times New Roman" w:hAnsi="Times New Roman"/>
          <w:b/>
          <w:i/>
          <w:color w:val="000000"/>
          <w:sz w:val="23"/>
          <w:szCs w:val="23"/>
        </w:rPr>
        <w:t>T</w:t>
      </w:r>
      <w:r>
        <w:rPr>
          <w:rFonts w:cs="Times New Roman" w:ascii="Times New Roman" w:hAnsi="Times New Roman"/>
          <w:b/>
          <w:i/>
          <w:color w:val="000000"/>
          <w:sz w:val="16"/>
          <w:szCs w:val="16"/>
          <w:vertAlign w:val="subscript"/>
        </w:rPr>
        <w:t>l</w:t>
      </w:r>
      <w:r>
        <w:rPr>
          <w:rFonts w:cs="Times New Roman" w:ascii="Times New Roman" w:hAnsi="Times New Roman"/>
          <w:color w:val="000000"/>
          <w:sz w:val="23"/>
          <w:szCs w:val="23"/>
        </w:rPr>
        <w:t xml:space="preserve">. Eles nunca cristalizam. </w:t>
      </w:r>
    </w:p>
    <w:p>
      <w:pPr>
        <w:pStyle w:val="Normal"/>
        <w:spacing w:lineRule="auto" w:line="360" w:before="0" w:after="0"/>
        <w:ind w:firstLine="1134"/>
        <w:jc w:val="both"/>
        <w:rPr>
          <w:rFonts w:ascii="Times New Roman" w:hAnsi="Times New Roman" w:cs="Times New Roman"/>
          <w:color w:val="000000"/>
          <w:sz w:val="23"/>
          <w:szCs w:val="23"/>
        </w:rPr>
      </w:pPr>
      <w:r>
        <w:rPr>
          <w:rFonts w:cs="Times New Roman" w:ascii="Times New Roman" w:hAnsi="Times New Roman"/>
          <w:color w:val="000000"/>
          <w:sz w:val="23"/>
          <w:szCs w:val="23"/>
        </w:rPr>
        <w:t xml:space="preserve">Líquidos super-resfriados existem entre a </w:t>
      </w:r>
      <w:r>
        <w:rPr>
          <w:rFonts w:cs="Times New Roman" w:ascii="Times New Roman" w:hAnsi="Times New Roman"/>
          <w:b/>
          <w:i/>
          <w:color w:val="000000"/>
          <w:sz w:val="23"/>
          <w:szCs w:val="23"/>
        </w:rPr>
        <w:t>T</w:t>
      </w:r>
      <w:r>
        <w:rPr>
          <w:rFonts w:cs="Times New Roman" w:ascii="Times New Roman" w:hAnsi="Times New Roman"/>
          <w:b/>
          <w:i/>
          <w:color w:val="000000"/>
          <w:sz w:val="24"/>
          <w:szCs w:val="23"/>
          <w:vertAlign w:val="subscript"/>
        </w:rPr>
        <w:t>l</w:t>
      </w:r>
      <w:r>
        <w:rPr>
          <w:rFonts w:cs="Times New Roman" w:ascii="Times New Roman" w:hAnsi="Times New Roman"/>
          <w:color w:val="000000"/>
          <w:sz w:val="16"/>
          <w:szCs w:val="16"/>
        </w:rPr>
        <w:t xml:space="preserve"> </w:t>
      </w:r>
      <w:r>
        <w:rPr>
          <w:rFonts w:cs="Times New Roman" w:ascii="Times New Roman" w:hAnsi="Times New Roman"/>
          <w:color w:val="000000"/>
          <w:sz w:val="23"/>
          <w:szCs w:val="23"/>
        </w:rPr>
        <w:t xml:space="preserve">e a </w:t>
      </w:r>
      <w:bookmarkStart w:id="83" w:name="_Hlk156900741"/>
      <w:r>
        <w:rPr>
          <w:rFonts w:cs="Times New Roman" w:ascii="Times New Roman" w:hAnsi="Times New Roman"/>
          <w:color w:val="000000"/>
          <w:sz w:val="23"/>
          <w:szCs w:val="23"/>
        </w:rPr>
        <w:t>temperatura de transição vítrea</w:t>
      </w:r>
      <w:bookmarkEnd w:id="83"/>
      <w:r>
        <w:rPr>
          <w:rFonts w:cs="Times New Roman" w:ascii="Times New Roman" w:hAnsi="Times New Roman"/>
          <w:color w:val="000000"/>
          <w:sz w:val="23"/>
          <w:szCs w:val="23"/>
        </w:rPr>
        <w:t xml:space="preserve">, </w:t>
      </w:r>
      <w:r>
        <w:rPr>
          <w:rFonts w:cs="Times New Roman" w:ascii="Times New Roman" w:hAnsi="Times New Roman"/>
          <w:b/>
          <w:i/>
          <w:color w:val="000000"/>
          <w:sz w:val="23"/>
          <w:szCs w:val="23"/>
        </w:rPr>
        <w:t>T</w:t>
      </w:r>
      <w:r>
        <w:rPr>
          <w:rFonts w:cs="Times New Roman" w:ascii="Times New Roman" w:hAnsi="Times New Roman"/>
          <w:b/>
          <w:i/>
          <w:color w:val="000000"/>
          <w:sz w:val="16"/>
          <w:szCs w:val="16"/>
        </w:rPr>
        <w:t>g</w:t>
      </w:r>
      <w:r>
        <w:rPr>
          <w:rFonts w:cs="Times New Roman" w:ascii="Times New Roman" w:hAnsi="Times New Roman"/>
          <w:color w:val="000000"/>
          <w:sz w:val="16"/>
          <w:szCs w:val="16"/>
        </w:rPr>
        <w:t xml:space="preserve"> </w:t>
      </w:r>
      <w:r>
        <w:rPr>
          <w:rFonts w:cs="Times New Roman" w:ascii="Times New Roman" w:hAnsi="Times New Roman"/>
          <w:color w:val="000000"/>
          <w:sz w:val="24"/>
          <w:szCs w:val="16"/>
        </w:rPr>
        <w:t>(região amarela)</w:t>
      </w:r>
      <w:r>
        <w:rPr>
          <w:rFonts w:cs="Times New Roman" w:ascii="Times New Roman" w:hAnsi="Times New Roman"/>
          <w:color w:val="000000"/>
          <w:sz w:val="23"/>
          <w:szCs w:val="23"/>
        </w:rPr>
        <w:t xml:space="preserve">. Eles são metaestáveis, isto é, uma barreira termodinâmica deve ser superada para que ocorra a nucleação de cristal, e eles eventualmente cristalizam após um certo tempo. </w:t>
      </w:r>
    </w:p>
    <w:p>
      <w:pPr>
        <w:pStyle w:val="Normal"/>
        <w:spacing w:lineRule="auto" w:line="360" w:before="0" w:after="0"/>
        <w:ind w:firstLine="1134"/>
        <w:jc w:val="both"/>
        <w:rPr>
          <w:rFonts w:ascii="Times New Roman" w:hAnsi="Times New Roman" w:cs="Times New Roman"/>
          <w:color w:val="000000"/>
          <w:sz w:val="23"/>
          <w:szCs w:val="23"/>
        </w:rPr>
      </w:pPr>
      <w:r>
        <w:rPr>
          <w:rFonts w:cs="Times New Roman" w:ascii="Times New Roman" w:hAnsi="Times New Roman"/>
          <w:color w:val="000000"/>
          <w:sz w:val="23"/>
          <w:szCs w:val="23"/>
        </w:rPr>
        <w:t xml:space="preserve">Os vidros existem abaixo da temperatura de transição vítrea, </w:t>
      </w:r>
      <w:r>
        <w:rPr>
          <w:rFonts w:cs="Times New Roman" w:ascii="Times New Roman" w:hAnsi="Times New Roman"/>
          <w:b/>
          <w:i/>
          <w:color w:val="000000"/>
          <w:sz w:val="23"/>
          <w:szCs w:val="23"/>
        </w:rPr>
        <w:t>T</w:t>
      </w:r>
      <w:r>
        <w:rPr>
          <w:rFonts w:cs="Times New Roman" w:ascii="Times New Roman" w:hAnsi="Times New Roman"/>
          <w:b/>
          <w:i/>
          <w:color w:val="000000"/>
          <w:sz w:val="16"/>
          <w:szCs w:val="16"/>
        </w:rPr>
        <w:t>g</w:t>
      </w:r>
      <w:r>
        <w:rPr>
          <w:rFonts w:cs="Times New Roman" w:ascii="Times New Roman" w:hAnsi="Times New Roman"/>
          <w:color w:val="000000"/>
          <w:sz w:val="23"/>
          <w:szCs w:val="23"/>
        </w:rPr>
        <w:t xml:space="preserve">. Eles são termodinamicamente instáveis e relaxam espontaneamente em direção ao estado líquido super-resfriado a qualquer temperatura diferente de zero. Após um tempo suficientemente longo, qualquer vidro relaxa e depois eventualmente cristaliza (setas azuis). </w:t>
      </w:r>
    </w:p>
    <w:p>
      <w:pPr>
        <w:pStyle w:val="Normal"/>
        <w:spacing w:lineRule="auto" w:line="360" w:before="0" w:after="0"/>
        <w:ind w:firstLine="1134"/>
        <w:jc w:val="both"/>
        <w:rPr>
          <w:rFonts w:ascii="Times New Roman" w:hAnsi="Times New Roman" w:cs="Times New Roman"/>
          <w:color w:val="000000"/>
          <w:sz w:val="23"/>
          <w:szCs w:val="23"/>
        </w:rPr>
      </w:pPr>
      <w:r>
        <w:rPr>
          <w:rFonts w:cs="Times New Roman" w:ascii="Times New Roman" w:hAnsi="Times New Roman"/>
          <w:color w:val="000000"/>
          <w:sz w:val="24"/>
          <w:szCs w:val="24"/>
        </w:rPr>
        <w:t xml:space="preserve">A cristalização acontece também quando a escória líquida atinge temperatura inferior a temperatura </w:t>
      </w:r>
      <w:r>
        <w:rPr>
          <w:rFonts w:cs="Times New Roman" w:ascii="Times New Roman" w:hAnsi="Times New Roman"/>
          <w:i/>
          <w:color w:val="000000"/>
          <w:sz w:val="24"/>
          <w:szCs w:val="24"/>
        </w:rPr>
        <w:t>liquidus</w:t>
      </w:r>
      <w:r>
        <w:rPr>
          <w:rFonts w:cs="Times New Roman" w:ascii="Times New Roman" w:hAnsi="Times New Roman"/>
          <w:color w:val="000000"/>
          <w:sz w:val="24"/>
          <w:szCs w:val="24"/>
        </w:rPr>
        <w:t xml:space="preserve"> que </w:t>
      </w:r>
      <w:r>
        <w:rPr>
          <w:rFonts w:cs="Times New Roman" w:ascii="Times New Roman" w:hAnsi="Times New Roman"/>
          <w:sz w:val="24"/>
          <w:szCs w:val="24"/>
        </w:rPr>
        <w:t>requer presença de um núcleo (nucleação) no qual o cristal irá posteriormente crescer até um tamanho detectável (Shelby, 2005)</w:t>
      </w:r>
      <w:r>
        <w:rPr>
          <w:rFonts w:cs="Times New Roman" w:ascii="Times New Roman" w:hAnsi="Times New Roman"/>
          <w:color w:val="000000"/>
          <w:sz w:val="24"/>
          <w:szCs w:val="24"/>
        </w:rPr>
        <w:t xml:space="preserve"> </w:t>
      </w:r>
      <w:bookmarkStart w:id="84" w:name="_Hlk157603133"/>
      <w:bookmarkEnd w:id="84"/>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Do ponto de vista prático, os filmes de pó fluxante devem ser avaliados quanto à sua cristalinidade, pois este é o efeito principal no controle da extração de calor no molde (</w:t>
      </w:r>
      <w:bookmarkStart w:id="85" w:name="_Hlk156987704"/>
      <w:r>
        <w:rPr>
          <w:rFonts w:cs="Times New Roman" w:ascii="Times New Roman" w:hAnsi="Times New Roman"/>
          <w:sz w:val="24"/>
        </w:rPr>
        <w:t>Martins, 2019</w:t>
      </w:r>
      <w:bookmarkEnd w:id="85"/>
      <w:r>
        <w:rPr>
          <w:rFonts w:cs="Times New Roman" w:ascii="Times New Roman" w:hAnsi="Times New Roman"/>
          <w:sz w:val="24"/>
        </w:rPr>
        <w:t>).</w:t>
      </w:r>
    </w:p>
    <w:p>
      <w:pPr>
        <w:pStyle w:val="Default"/>
        <w:spacing w:lineRule="auto" w:line="360"/>
        <w:ind w:firstLine="1134"/>
        <w:jc w:val="both"/>
        <w:rPr/>
      </w:pPr>
      <w:r>
        <w:rPr/>
      </w:r>
    </w:p>
    <w:p>
      <w:pPr>
        <w:pStyle w:val="Normal"/>
        <w:spacing w:lineRule="auto" w:line="360" w:before="0" w:after="0"/>
        <w:jc w:val="both"/>
        <w:rPr>
          <w:rFonts w:ascii="Times New Roman" w:hAnsi="Times New Roman" w:cs="Times New Roman"/>
          <w:b/>
          <w:b/>
          <w:i/>
          <w:i/>
          <w:sz w:val="24"/>
          <w:szCs w:val="24"/>
        </w:rPr>
      </w:pPr>
      <w:r>
        <w:rPr>
          <w:rFonts w:cs="Times New Roman" w:ascii="Times New Roman" w:hAnsi="Times New Roman"/>
          <w:b/>
          <w:i/>
          <w:sz w:val="24"/>
          <w:szCs w:val="24"/>
        </w:rPr>
        <w:t xml:space="preserve">3.5.2 Nucleação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Default"/>
        <w:spacing w:lineRule="auto" w:line="360"/>
        <w:ind w:firstLine="1134"/>
        <w:jc w:val="both"/>
        <w:rPr>
          <w:color w:val="auto"/>
          <w:sz w:val="32"/>
        </w:rPr>
      </w:pPr>
      <w:r>
        <w:rPr/>
        <w:t xml:space="preserve">O termo cristalização na verdade se refere a uma combinação de dois processos, a nucleação e o crescimento de cristais. </w:t>
      </w:r>
      <w:r>
        <w:rPr>
          <w:color w:val="auto"/>
          <w:szCs w:val="21"/>
          <w:shd w:fill="FFFFFF" w:val="clear"/>
        </w:rPr>
        <w:t>Nucleação é o primeiro passo na formação de qualquer nova fase termodinâmica ou uma nova estrutura através de automontagem ou de auto-organização.</w:t>
      </w:r>
    </w:p>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Figura 19 - Etapas da nucleação e crescimento.</w:t>
      </w:r>
    </w:p>
    <w:p>
      <w:pPr>
        <w:pStyle w:val="Normal"/>
        <w:spacing w:lineRule="auto" w:line="360" w:before="0" w:after="0"/>
        <w:jc w:val="both"/>
        <w:rPr>
          <w:rFonts w:ascii="Times New Roman" w:hAnsi="Times New Roman" w:cs="Times New Roman"/>
          <w:sz w:val="24"/>
          <w:szCs w:val="24"/>
        </w:rPr>
      </w:pPr>
      <w:r>
        <w:rPr/>
        <w:drawing>
          <wp:inline distT="0" distB="0" distL="0" distR="3810">
            <wp:extent cx="5463540" cy="1526540"/>
            <wp:effectExtent l="0" t="0" r="0" b="0"/>
            <wp:docPr id="27"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13" descr=""/>
                    <pic:cNvPicPr>
                      <a:picLocks noChangeAspect="1" noChangeArrowheads="1"/>
                    </pic:cNvPicPr>
                  </pic:nvPicPr>
                  <pic:blipFill>
                    <a:blip r:embed="rId23"/>
                    <a:srcRect l="17378" t="17121" r="17315" b="48645"/>
                    <a:stretch>
                      <a:fillRect/>
                    </a:stretch>
                  </pic:blipFill>
                  <pic:spPr bwMode="auto">
                    <a:xfrm>
                      <a:off x="0" y="0"/>
                      <a:ext cx="5463540" cy="1526540"/>
                    </a:xfrm>
                    <a:prstGeom prst="rect">
                      <a:avLst/>
                    </a:prstGeom>
                  </pic:spPr>
                </pic:pic>
              </a:graphicData>
            </a:graphic>
          </wp:inline>
        </w:drawing>
      </w:r>
      <w:bookmarkStart w:id="86" w:name="_Hlk156893558"/>
      <w:bookmarkEnd w:id="86"/>
    </w:p>
    <w:p>
      <w:pPr>
        <w:pStyle w:val="Normal"/>
        <w:spacing w:lineRule="auto" w:line="360" w:before="0" w:after="0"/>
        <w:jc w:val="both"/>
        <w:rPr>
          <w:rFonts w:ascii="Times New Roman" w:hAnsi="Times New Roman" w:cs="Times New Roman"/>
          <w:sz w:val="20"/>
          <w:szCs w:val="24"/>
        </w:rPr>
      </w:pPr>
      <w:r>
        <w:rPr>
          <w:rFonts w:cs="Times New Roman" w:ascii="Times New Roman" w:hAnsi="Times New Roman"/>
          <w:sz w:val="20"/>
          <w:szCs w:val="24"/>
        </w:rPr>
        <w:t xml:space="preserve">Fonte: </w:t>
      </w:r>
      <w:bookmarkStart w:id="87" w:name="_Hlk156987713"/>
      <w:r>
        <w:rPr>
          <w:rFonts w:cs="Times New Roman" w:ascii="Times New Roman" w:hAnsi="Times New Roman"/>
          <w:sz w:val="20"/>
          <w:szCs w:val="24"/>
        </w:rPr>
        <w:t>Geologia sem rumo (2016).</w:t>
      </w:r>
      <w:bookmarkEnd w:id="87"/>
    </w:p>
    <w:p>
      <w:pPr>
        <w:pStyle w:val="Normal"/>
        <w:spacing w:lineRule="auto" w:line="360" w:before="0" w:after="0"/>
        <w:jc w:val="both"/>
        <w:rPr>
          <w:rFonts w:ascii="Times New Roman" w:hAnsi="Times New Roman" w:cs="Times New Roman"/>
          <w:sz w:val="20"/>
          <w:szCs w:val="24"/>
        </w:rPr>
      </w:pPr>
      <w:r>
        <w:rPr>
          <w:rFonts w:cs="Times New Roman" w:ascii="Times New Roman" w:hAnsi="Times New Roman"/>
          <w:sz w:val="20"/>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 núcleo torna-se estável quando o embrião em crescimento tiver um raio maior que o </w:t>
      </w:r>
      <w:bookmarkStart w:id="88" w:name="_Hlk156900841"/>
      <w:r>
        <w:rPr>
          <w:rFonts w:cs="Times New Roman" w:ascii="Times New Roman" w:hAnsi="Times New Roman"/>
          <w:sz w:val="24"/>
          <w:szCs w:val="24"/>
        </w:rPr>
        <w:t xml:space="preserve">raio crítico </w:t>
      </w:r>
      <w:r>
        <w:rPr>
          <w:rFonts w:cs="Times New Roman" w:ascii="Times New Roman" w:hAnsi="Times New Roman"/>
          <w:b/>
          <w:i/>
          <w:sz w:val="24"/>
          <w:szCs w:val="24"/>
        </w:rPr>
        <w:t>r*</w:t>
      </w:r>
      <w:bookmarkEnd w:id="88"/>
      <w:r>
        <w:rPr>
          <w:rFonts w:cs="Times New Roman" w:ascii="Times New Roman" w:hAnsi="Times New Roman"/>
          <w:sz w:val="24"/>
          <w:szCs w:val="24"/>
        </w:rPr>
        <w:t xml:space="preserve">. Nesse caso, inicia o crescimento cristalino, caso contrário ele retorna à fase líquida (Shelby, 2005).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Existem duas barreiras para a formação de núcleos estáveis (Shelby, 2005):</w:t>
      </w:r>
    </w:p>
    <w:p>
      <w:pPr>
        <w:pStyle w:val="Normal"/>
        <w:spacing w:lineRule="auto" w:line="360" w:before="0" w:after="0"/>
        <w:ind w:firstLine="1134"/>
        <w:jc w:val="both"/>
        <w:rPr>
          <w:rFonts w:ascii="Times New Roman" w:hAnsi="Times New Roman"/>
          <w:sz w:val="24"/>
          <w:szCs w:val="24"/>
        </w:rPr>
      </w:pPr>
      <w:r>
        <w:rPr>
          <w:rFonts w:ascii="Times New Roman" w:hAnsi="Times New Roman"/>
          <w:sz w:val="24"/>
          <w:szCs w:val="24"/>
        </w:rPr>
        <w:t xml:space="preserve">A barreira termodinâmica </w:t>
      </w:r>
      <w:r>
        <w:rPr>
          <w:rFonts w:ascii="Times New Roman" w:hAnsi="Times New Roman"/>
          <w:b/>
          <w:sz w:val="24"/>
          <w:szCs w:val="24"/>
        </w:rPr>
        <w:t>Δ</w:t>
      </w:r>
      <w:r>
        <w:rPr>
          <w:rFonts w:ascii="Times New Roman" w:hAnsi="Times New Roman"/>
          <w:b/>
          <w:i/>
          <w:sz w:val="24"/>
          <w:szCs w:val="24"/>
        </w:rPr>
        <w:t>G*</w:t>
      </w:r>
      <w:r>
        <w:rPr>
          <w:rFonts w:ascii="Times New Roman" w:hAnsi="Times New Roman"/>
          <w:sz w:val="24"/>
          <w:szCs w:val="24"/>
        </w:rPr>
        <w:t>, é a energia livre</w:t>
      </w:r>
      <w:r>
        <w:rPr>
          <w:rFonts w:cs="Times New Roman" w:ascii="Times New Roman" w:hAnsi="Times New Roman"/>
          <w:sz w:val="24"/>
          <w:szCs w:val="24"/>
        </w:rPr>
        <w:t xml:space="preserve"> necessária, por unidade de volume, para que o núcleo seja formado</w:t>
      </w:r>
      <w:r>
        <w:rPr>
          <w:rFonts w:ascii="Times New Roman" w:hAnsi="Times New Roman"/>
          <w:sz w:val="24"/>
          <w:szCs w:val="24"/>
        </w:rPr>
        <w:t>.</w:t>
      </w:r>
    </w:p>
    <w:p>
      <w:pPr>
        <w:pStyle w:val="Normal"/>
        <w:spacing w:lineRule="auto" w:line="360" w:before="0" w:after="0"/>
        <w:ind w:firstLine="1134"/>
        <w:jc w:val="both"/>
        <w:rPr>
          <w:rFonts w:ascii="Times New Roman" w:hAnsi="Times New Roman"/>
          <w:sz w:val="24"/>
          <w:szCs w:val="24"/>
        </w:rPr>
      </w:pPr>
      <w:r>
        <w:rPr>
          <w:rFonts w:ascii="Times New Roman" w:hAnsi="Times New Roman"/>
          <w:sz w:val="24"/>
          <w:szCs w:val="24"/>
        </w:rPr>
        <w:t xml:space="preserve">A barreira cinética </w:t>
      </w:r>
      <w:r>
        <w:rPr>
          <w:rFonts w:ascii="Times New Roman" w:hAnsi="Times New Roman"/>
          <w:b/>
          <w:i/>
          <w:sz w:val="24"/>
          <w:szCs w:val="24"/>
        </w:rPr>
        <w:t>Ea</w:t>
      </w:r>
      <w:r>
        <w:rPr>
          <w:rFonts w:ascii="Times New Roman" w:hAnsi="Times New Roman"/>
          <w:sz w:val="24"/>
          <w:szCs w:val="24"/>
        </w:rPr>
        <w:t xml:space="preserve">, é a </w:t>
      </w:r>
      <w:bookmarkStart w:id="89" w:name="_Hlk156901426"/>
      <w:r>
        <w:rPr>
          <w:rFonts w:ascii="Times New Roman" w:hAnsi="Times New Roman"/>
          <w:sz w:val="24"/>
          <w:szCs w:val="24"/>
        </w:rPr>
        <w:t xml:space="preserve">energia de ativação </w:t>
      </w:r>
      <w:bookmarkEnd w:id="89"/>
      <w:r>
        <w:rPr>
          <w:rFonts w:ascii="Times New Roman" w:hAnsi="Times New Roman"/>
          <w:sz w:val="24"/>
          <w:szCs w:val="24"/>
        </w:rPr>
        <w:t>necessária, para que a massa seja movida ou reorganizada no espaço (difusão), para permitir o crescimento de um cristal de um líquido desordenado.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figura 20 ilustra a energia necessária para que o átomo, na fase líquida, chegue ao cristal em crescimento.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1843" w:right="142" w:hanging="0"/>
        <w:jc w:val="both"/>
        <w:rPr>
          <w:rFonts w:ascii="Times New Roman" w:hAnsi="Times New Roman" w:cs="Times New Roman"/>
          <w:sz w:val="24"/>
          <w:szCs w:val="24"/>
        </w:rPr>
      </w:pPr>
      <w:bookmarkStart w:id="90" w:name="_Hlk156893588"/>
      <w:r>
        <w:rPr>
          <w:rFonts w:cs="Times New Roman" w:ascii="Times New Roman" w:hAnsi="Times New Roman"/>
          <w:sz w:val="24"/>
          <w:szCs w:val="24"/>
        </w:rPr>
        <w:t>Figura 20 - Barreiras para a formação de um núcleo.</w:t>
      </w:r>
      <w:bookmarkEnd w:id="90"/>
    </w:p>
    <w:p>
      <w:pPr>
        <w:pStyle w:val="Normal"/>
        <w:spacing w:lineRule="auto" w:line="360" w:before="0" w:after="0"/>
        <w:jc w:val="center"/>
        <w:rPr>
          <w:rFonts w:ascii="Times New Roman" w:hAnsi="Times New Roman" w:cs="Times New Roman"/>
          <w:sz w:val="24"/>
          <w:szCs w:val="24"/>
        </w:rPr>
      </w:pPr>
      <w:r>
        <w:rPr/>
        <w:drawing>
          <wp:inline distT="0" distB="1270" distL="0" distR="0">
            <wp:extent cx="3258820" cy="2399665"/>
            <wp:effectExtent l="0" t="0" r="0" b="0"/>
            <wp:docPr id="28" name="Image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4" descr=""/>
                    <pic:cNvPicPr>
                      <a:picLocks noChangeAspect="1" noChangeArrowheads="1"/>
                    </pic:cNvPicPr>
                  </pic:nvPicPr>
                  <pic:blipFill>
                    <a:blip r:embed="rId24"/>
                    <a:srcRect l="15499" t="5349" r="20903" b="3951"/>
                    <a:stretch>
                      <a:fillRect/>
                    </a:stretch>
                  </pic:blipFill>
                  <pic:spPr bwMode="auto">
                    <a:xfrm>
                      <a:off x="0" y="0"/>
                      <a:ext cx="3258820" cy="2399665"/>
                    </a:xfrm>
                    <a:prstGeom prst="rect">
                      <a:avLst/>
                    </a:prstGeom>
                  </pic:spPr>
                </pic:pic>
              </a:graphicData>
            </a:graphic>
          </wp:inline>
        </w:drawing>
      </w:r>
    </w:p>
    <w:p>
      <w:pPr>
        <w:pStyle w:val="Normal"/>
        <w:tabs>
          <w:tab w:val="left" w:pos="5954" w:leader="none"/>
          <w:tab w:val="left" w:pos="6096" w:leader="none"/>
        </w:tabs>
        <w:spacing w:lineRule="auto" w:line="240" w:before="0" w:after="0"/>
        <w:ind w:left="1843" w:right="142" w:hanging="0"/>
        <w:jc w:val="both"/>
        <w:rPr/>
      </w:pPr>
      <w:r>
        <w:rPr>
          <w:rFonts w:cs="Times New Roman" w:ascii="Times New Roman" w:hAnsi="Times New Roman"/>
          <w:sz w:val="20"/>
          <w:szCs w:val="24"/>
        </w:rPr>
        <w:t xml:space="preserve">Fonte: </w:t>
      </w:r>
      <w:hyperlink r:id="rId25">
        <w:bookmarkStart w:id="91" w:name="_Hlk156987729"/>
        <w:r>
          <w:rPr>
            <w:rStyle w:val="LinkdaInternet"/>
            <w:rFonts w:cs="Times New Roman" w:ascii="Times New Roman" w:hAnsi="Times New Roman"/>
            <w:color w:val="auto"/>
            <w:sz w:val="20"/>
            <w:szCs w:val="24"/>
            <w:u w:val="none"/>
          </w:rPr>
          <w:t>C</w:t>
        </w:r>
      </w:hyperlink>
      <w:r>
        <w:rPr>
          <w:rStyle w:val="LinkdaInternet"/>
          <w:rFonts w:cs="Times New Roman" w:ascii="Times New Roman" w:hAnsi="Times New Roman"/>
          <w:color w:val="auto"/>
          <w:sz w:val="20"/>
          <w:szCs w:val="24"/>
          <w:u w:val="none"/>
        </w:rPr>
        <w:t>ASSAR (2014</w:t>
      </w:r>
      <w:bookmarkEnd w:id="91"/>
      <w:r>
        <w:rPr>
          <w:rStyle w:val="LinkdaInternet"/>
          <w:rFonts w:cs="Times New Roman" w:ascii="Times New Roman" w:hAnsi="Times New Roman"/>
          <w:color w:val="auto"/>
          <w:sz w:val="20"/>
          <w:szCs w:val="24"/>
          <w:u w:val="none"/>
        </w:rPr>
        <w:t xml:space="preserve"> com adaptações).</w:t>
      </w:r>
    </w:p>
    <w:p>
      <w:pPr>
        <w:pStyle w:val="Normal"/>
        <w:tabs>
          <w:tab w:val="left" w:pos="5954" w:leader="none"/>
          <w:tab w:val="left" w:pos="6096" w:leader="none"/>
        </w:tabs>
        <w:spacing w:lineRule="auto" w:line="360" w:before="0" w:after="0"/>
        <w:ind w:right="142" w:hanging="0"/>
        <w:jc w:val="center"/>
        <w:rPr>
          <w:rStyle w:val="LinkdaInternet"/>
          <w:rFonts w:ascii="Times New Roman" w:hAnsi="Times New Roman" w:cs="Times New Roman"/>
          <w:color w:val="auto"/>
          <w:sz w:val="24"/>
          <w:szCs w:val="32"/>
          <w:u w:val="none"/>
        </w:rPr>
      </w:pPr>
      <w:r>
        <w:rPr>
          <w:rFonts w:cs="Times New Roman" w:ascii="Times New Roman" w:hAnsi="Times New Roman"/>
          <w:color w:val="auto"/>
          <w:sz w:val="24"/>
          <w:szCs w:val="32"/>
          <w:u w:val="none"/>
        </w:rPr>
      </w:r>
    </w:p>
    <w:p>
      <w:pPr>
        <w:pStyle w:val="Normal"/>
        <w:spacing w:lineRule="auto" w:line="360" w:before="0" w:after="0"/>
        <w:ind w:left="1134" w:hanging="0"/>
        <w:jc w:val="both"/>
        <w:rPr>
          <w:rFonts w:ascii="Times New Roman" w:hAnsi="Times New Roman"/>
          <w:sz w:val="24"/>
          <w:szCs w:val="24"/>
        </w:rPr>
      </w:pPr>
      <w:r>
        <w:rPr>
          <w:rFonts w:cs="Times New Roman" w:ascii="Times New Roman" w:hAnsi="Times New Roman"/>
          <w:sz w:val="24"/>
          <w:szCs w:val="24"/>
        </w:rPr>
        <w:t xml:space="preserve">Onde: </w:t>
      </w:r>
      <w:r>
        <w:rPr>
          <w:rFonts w:ascii="Times New Roman" w:hAnsi="Times New Roman"/>
          <w:b/>
          <w:i/>
          <w:sz w:val="24"/>
          <w:szCs w:val="24"/>
        </w:rPr>
        <w:t>ΔG*</w:t>
      </w:r>
      <w:r>
        <w:rPr>
          <w:rFonts w:ascii="Times New Roman" w:hAnsi="Times New Roman"/>
          <w:sz w:val="24"/>
          <w:szCs w:val="24"/>
        </w:rPr>
        <w:t xml:space="preserve"> - barreira termodinâmica;</w:t>
      </w:r>
    </w:p>
    <w:p>
      <w:pPr>
        <w:pStyle w:val="Normal"/>
        <w:spacing w:lineRule="auto" w:line="360" w:before="0" w:after="0"/>
        <w:ind w:left="1134" w:hanging="0"/>
        <w:jc w:val="both"/>
        <w:rPr>
          <w:rFonts w:ascii="Times New Roman" w:hAnsi="Times New Roman"/>
          <w:sz w:val="24"/>
          <w:szCs w:val="24"/>
          <w:vertAlign w:val="subscript"/>
        </w:rPr>
      </w:pPr>
      <w:r>
        <w:rPr>
          <w:rFonts w:ascii="Times New Roman" w:hAnsi="Times New Roman"/>
          <w:b/>
          <w:i/>
          <w:sz w:val="24"/>
          <w:szCs w:val="24"/>
        </w:rPr>
        <w:t>Ea</w:t>
      </w:r>
      <w:r>
        <w:rPr>
          <w:rFonts w:ascii="Times New Roman" w:hAnsi="Times New Roman"/>
          <w:sz w:val="24"/>
          <w:szCs w:val="24"/>
        </w:rPr>
        <w:t xml:space="preserve"> - barreira cinética;</w:t>
      </w:r>
    </w:p>
    <w:p>
      <w:pPr>
        <w:pStyle w:val="ListParagraph"/>
        <w:spacing w:lineRule="auto" w:line="360" w:before="0" w:after="0"/>
        <w:ind w:left="1134" w:hanging="0"/>
        <w:contextualSpacing/>
        <w:jc w:val="both"/>
        <w:rPr>
          <w:rFonts w:ascii="Times New Roman" w:hAnsi="Times New Roman"/>
          <w:sz w:val="24"/>
          <w:szCs w:val="24"/>
          <w:vertAlign w:val="subscript"/>
        </w:rPr>
      </w:pPr>
      <w:bookmarkStart w:id="92" w:name="_Hlk156901052"/>
      <w:r>
        <w:rPr>
          <w:rFonts w:ascii="Times New Roman" w:hAnsi="Times New Roman"/>
          <w:b/>
          <w:i/>
          <w:sz w:val="24"/>
          <w:szCs w:val="24"/>
        </w:rPr>
        <w:t xml:space="preserve">λ </w:t>
      </w:r>
      <w:r>
        <w:rPr>
          <w:rFonts w:ascii="Times New Roman" w:hAnsi="Times New Roman"/>
          <w:sz w:val="24"/>
          <w:szCs w:val="24"/>
        </w:rPr>
        <w:t>- Distância média do salto atômico da fase líquida para fase cristalina</w:t>
      </w:r>
      <w:bookmarkEnd w:id="92"/>
      <w:r>
        <w:rPr>
          <w:rFonts w:ascii="Times New Roman" w:hAnsi="Times New Roman"/>
          <w:sz w:val="24"/>
          <w:szCs w:val="24"/>
        </w:rPr>
        <w:t>;</w:t>
      </w:r>
    </w:p>
    <w:p>
      <w:pPr>
        <w:pStyle w:val="ListParagraph"/>
        <w:spacing w:lineRule="auto" w:line="360" w:before="0" w:after="0"/>
        <w:ind w:left="1134" w:hanging="0"/>
        <w:contextualSpacing/>
        <w:jc w:val="both"/>
        <w:rPr>
          <w:rFonts w:ascii="Times New Roman" w:hAnsi="Times New Roman"/>
          <w:sz w:val="24"/>
          <w:szCs w:val="24"/>
          <w:vertAlign w:val="subscript"/>
        </w:rPr>
      </w:pPr>
      <w:r>
        <w:rPr>
          <w:rFonts w:ascii="Times New Roman" w:hAnsi="Times New Roman"/>
          <w:sz w:val="24"/>
          <w:szCs w:val="24"/>
        </w:rPr>
        <w:t>G</w:t>
      </w:r>
      <w:r>
        <w:rPr>
          <w:rFonts w:ascii="Times New Roman" w:hAnsi="Times New Roman"/>
          <w:sz w:val="24"/>
          <w:szCs w:val="24"/>
          <w:vertAlign w:val="subscript"/>
        </w:rPr>
        <w:t>c</w:t>
      </w:r>
      <w:r>
        <w:rPr>
          <w:rFonts w:ascii="Times New Roman" w:hAnsi="Times New Roman"/>
          <w:sz w:val="24"/>
          <w:szCs w:val="24"/>
        </w:rPr>
        <w:t>, G</w:t>
      </w:r>
      <w:r>
        <w:rPr>
          <w:rFonts w:ascii="Times New Roman" w:hAnsi="Times New Roman"/>
          <w:sz w:val="24"/>
          <w:szCs w:val="24"/>
          <w:vertAlign w:val="subscript"/>
        </w:rPr>
        <w:t>l</w:t>
      </w:r>
      <w:r>
        <w:rPr>
          <w:rFonts w:ascii="Times New Roman" w:hAnsi="Times New Roman"/>
          <w:sz w:val="24"/>
          <w:szCs w:val="24"/>
        </w:rPr>
        <w:t xml:space="preserve"> e G</w:t>
      </w:r>
      <w:r>
        <w:rPr>
          <w:rFonts w:ascii="Times New Roman" w:hAnsi="Times New Roman"/>
          <w:sz w:val="24"/>
          <w:szCs w:val="24"/>
          <w:vertAlign w:val="subscript"/>
        </w:rPr>
        <w:t>v</w:t>
      </w:r>
      <w:r>
        <w:rPr>
          <w:rFonts w:ascii="Times New Roman" w:hAnsi="Times New Roman"/>
          <w:sz w:val="24"/>
          <w:szCs w:val="24"/>
        </w:rPr>
        <w:t xml:space="preserve"> - Valores da energia livre em cada estado.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Cada molécula, que vence a barreira cinética de difusão </w:t>
      </w:r>
      <w:r>
        <w:rPr>
          <w:rFonts w:cs="Times New Roman" w:ascii="Times New Roman" w:hAnsi="Times New Roman"/>
          <w:b/>
          <w:i/>
          <w:sz w:val="24"/>
          <w:szCs w:val="24"/>
        </w:rPr>
        <w:t>Ea</w:t>
      </w:r>
      <w:r>
        <w:rPr>
          <w:rFonts w:cs="Times New Roman" w:ascii="Times New Roman" w:hAnsi="Times New Roman"/>
          <w:sz w:val="24"/>
          <w:szCs w:val="24"/>
        </w:rPr>
        <w:t xml:space="preserve">, percorre em média uma distância </w:t>
      </w:r>
      <w:r>
        <w:rPr>
          <w:rFonts w:cs="Times New Roman" w:ascii="Times New Roman" w:hAnsi="Times New Roman"/>
          <w:b/>
          <w:i/>
          <w:sz w:val="24"/>
          <w:szCs w:val="24"/>
        </w:rPr>
        <w:t>λ</w:t>
      </w:r>
      <w:r>
        <w:rPr>
          <w:rFonts w:cs="Times New Roman" w:ascii="Times New Roman" w:hAnsi="Times New Roman"/>
          <w:sz w:val="24"/>
          <w:szCs w:val="24"/>
        </w:rPr>
        <w:t xml:space="preserve"> para deixar a parte líquida e acoplar-se ao cristal.</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O núcleo pode ser homogêneo, formando-se espontaneamente dentro do fundido, ou heterogêneo, formando-se em uma superfície pré-existente. Se não houver núcleos presentes, o crescimento do cristal não pode ocorrer e o material formará um vidro. Mesmo que alguns núcleos sejam presentes, mas nenhum crescimento ocorreu, o tamanho extremamente pequeno e a baixa fração volumétrica dos núcleos impedem sua detecção, de modo que o sólido é, para todos os efeitos práticos, ainda um vidro (Shelby, 2005).</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i/>
          <w:i/>
          <w:sz w:val="24"/>
          <w:szCs w:val="24"/>
        </w:rPr>
      </w:pPr>
      <w:r>
        <w:rPr>
          <w:rFonts w:cs="Times New Roman" w:ascii="Times New Roman" w:hAnsi="Times New Roman"/>
          <w:i/>
          <w:sz w:val="24"/>
          <w:szCs w:val="24"/>
        </w:rPr>
        <w:t>3.5.2.1 Nucleação homogênea</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nucleação homogênea ocorre aleatoriamente em todo o sistema, ou seja, não existem sítios preferenciais para a formação de núcleo. Uma condição necessária para este tipo de nucleação é que o material seja químico, estrutural e energeticamente homogêneo. Do ponto de vista experimental questiona-se a ocorrência ou não de nucleação homogênea visto que cada fase real contém algum tipo de defeito, como inclusões sólidas, impurezas, superfícies estranhas, etc (</w:t>
      </w:r>
      <w:bookmarkStart w:id="93" w:name="_Hlk156987740"/>
      <w:r>
        <w:rPr>
          <w:rFonts w:cs="Times New Roman" w:ascii="Times New Roman" w:hAnsi="Times New Roman"/>
          <w:sz w:val="24"/>
        </w:rPr>
        <w:t>Zeng et al</w:t>
      </w:r>
      <w:r>
        <w:rPr>
          <w:rFonts w:cs="Times New Roman" w:ascii="Times New Roman" w:hAnsi="Times New Roman"/>
          <w:sz w:val="24"/>
          <w:szCs w:val="24"/>
        </w:rPr>
        <w:t>., 2009</w:t>
      </w:r>
      <w:bookmarkEnd w:id="93"/>
      <w:r>
        <w:rPr>
          <w:rFonts w:cs="Times New Roman" w:ascii="Times New Roman" w:hAnsi="Times New Roman"/>
          <w:sz w:val="24"/>
          <w:szCs w:val="24"/>
        </w:rPr>
        <w:t>).</w:t>
      </w:r>
    </w:p>
    <w:p>
      <w:pPr>
        <w:pStyle w:val="Normal"/>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 xml:space="preserve">Conforme Shelby (2005), em um núcleo esférico, a formação de um arranjo cristalino diminuirá a </w:t>
      </w:r>
      <w:bookmarkStart w:id="94" w:name="_Hlk156901186"/>
      <w:r>
        <w:rPr>
          <w:rFonts w:cs="Times New Roman" w:ascii="Times New Roman" w:hAnsi="Times New Roman"/>
          <w:sz w:val="24"/>
          <w:szCs w:val="24"/>
        </w:rPr>
        <w:t xml:space="preserve">energia livre volumétrica esférica </w:t>
      </w:r>
      <w:bookmarkEnd w:id="94"/>
      <w:r>
        <w:rPr>
          <w:rFonts w:cs="Times New Roman" w:ascii="Times New Roman" w:hAnsi="Times New Roman"/>
          <w:sz w:val="24"/>
          <w:szCs w:val="24"/>
        </w:rPr>
        <w:t>(4/3πr</w:t>
      </w:r>
      <w:r>
        <w:rPr>
          <w:rFonts w:cs="Times New Roman" w:ascii="Times New Roman" w:hAnsi="Times New Roman"/>
          <w:sz w:val="24"/>
          <w:szCs w:val="24"/>
          <w:vertAlign w:val="superscript"/>
        </w:rPr>
        <w:t>3</w:t>
      </w:r>
      <w:r>
        <w:rPr>
          <w:rFonts w:cs="Times New Roman" w:ascii="Times New Roman" w:hAnsi="Times New Roman"/>
          <w:sz w:val="24"/>
          <w:szCs w:val="24"/>
        </w:rPr>
        <w:t xml:space="preserve">) do núcleo </w:t>
      </w:r>
      <w:bookmarkStart w:id="95" w:name="_Hlk156901152"/>
      <w:r>
        <w:rPr>
          <w:rFonts w:cs="Times New Roman" w:ascii="Times New Roman" w:hAnsi="Times New Roman"/>
          <w:b/>
          <w:i/>
          <w:sz w:val="24"/>
          <w:szCs w:val="24"/>
        </w:rPr>
        <w:t>ΔG</w:t>
      </w:r>
      <w:r>
        <w:rPr>
          <w:rFonts w:cs="Times New Roman" w:ascii="Times New Roman" w:hAnsi="Times New Roman"/>
          <w:b/>
          <w:i/>
          <w:sz w:val="24"/>
          <w:szCs w:val="24"/>
          <w:vertAlign w:val="subscript"/>
        </w:rPr>
        <w:t>v</w:t>
      </w:r>
      <w:bookmarkEnd w:id="95"/>
      <w:r>
        <w:rPr>
          <w:rFonts w:cs="Times New Roman" w:ascii="Times New Roman" w:hAnsi="Times New Roman"/>
          <w:sz w:val="24"/>
          <w:szCs w:val="24"/>
        </w:rPr>
        <w:t xml:space="preserve">, que é contrabalançada por um aumento na </w:t>
      </w:r>
      <w:bookmarkStart w:id="96" w:name="_Hlk156901209"/>
      <w:r>
        <w:rPr>
          <w:rFonts w:cs="Times New Roman" w:ascii="Times New Roman" w:hAnsi="Times New Roman"/>
          <w:sz w:val="24"/>
          <w:szCs w:val="24"/>
        </w:rPr>
        <w:t>energia livre superficial esférica</w:t>
      </w:r>
      <w:bookmarkEnd w:id="96"/>
      <w:r>
        <w:rPr>
          <w:rFonts w:cs="Times New Roman" w:ascii="Times New Roman" w:hAnsi="Times New Roman"/>
          <w:sz w:val="24"/>
          <w:szCs w:val="24"/>
        </w:rPr>
        <w:t xml:space="preserve"> (4</w:t>
      </w:r>
      <w:bookmarkStart w:id="97" w:name="_Hlk156901256"/>
      <w:r>
        <w:rPr>
          <w:rFonts w:cs="Times New Roman" w:ascii="Times New Roman" w:hAnsi="Times New Roman"/>
          <w:sz w:val="24"/>
          <w:szCs w:val="24"/>
        </w:rPr>
        <w:t>πr</w:t>
      </w:r>
      <w:bookmarkEnd w:id="97"/>
      <w:r>
        <w:rPr>
          <w:rFonts w:cs="Times New Roman" w:ascii="Times New Roman" w:hAnsi="Times New Roman"/>
          <w:sz w:val="24"/>
          <w:szCs w:val="24"/>
          <w:vertAlign w:val="superscript"/>
        </w:rPr>
        <w:t>2</w:t>
      </w:r>
      <w:r>
        <w:rPr>
          <w:rFonts w:cs="Times New Roman" w:ascii="Times New Roman" w:hAnsi="Times New Roman"/>
          <w:sz w:val="24"/>
          <w:szCs w:val="24"/>
        </w:rPr>
        <w:t xml:space="preserve">) do núcleo </w:t>
      </w:r>
      <w:bookmarkStart w:id="98" w:name="_Hlk156901223"/>
      <w:r>
        <w:rPr>
          <w:rFonts w:cs="Times New Roman" w:ascii="Times New Roman" w:hAnsi="Times New Roman"/>
          <w:b/>
          <w:i/>
          <w:sz w:val="24"/>
          <w:szCs w:val="24"/>
        </w:rPr>
        <w:t>γ</w:t>
      </w:r>
      <w:bookmarkEnd w:id="98"/>
      <w:r>
        <w:rPr>
          <w:rFonts w:cs="Times New Roman" w:ascii="Times New Roman" w:hAnsi="Times New Roman"/>
          <w:sz w:val="24"/>
          <w:szCs w:val="24"/>
        </w:rPr>
        <w:t xml:space="preserve">, devido a formação de uma nova interface entre regiões de diferentes estruturas, onde o trabalho termodinâmico </w:t>
      </w:r>
      <w:r>
        <w:rPr>
          <w:rFonts w:cs="Times New Roman" w:ascii="Times New Roman" w:hAnsi="Times New Roman"/>
          <w:b/>
          <w:sz w:val="24"/>
          <w:szCs w:val="24"/>
        </w:rPr>
        <w:t>W</w:t>
      </w:r>
      <w:r>
        <w:rPr>
          <w:rFonts w:cs="Times New Roman" w:ascii="Times New Roman" w:hAnsi="Times New Roman"/>
          <w:sz w:val="24"/>
          <w:szCs w:val="24"/>
        </w:rPr>
        <w:t>, é a soma desses termos:</w:t>
      </w:r>
    </w:p>
    <w:p>
      <w:pPr>
        <w:pStyle w:val="Normal"/>
        <w:spacing w:lineRule="auto" w:line="360" w:before="240" w:after="140"/>
        <w:ind w:firstLine="1134"/>
        <w:jc w:val="both"/>
        <w:rPr>
          <w:rFonts w:ascii="Times New Roman" w:hAnsi="Times New Roman" w:cs="Times New Roman"/>
          <w:sz w:val="24"/>
          <w:szCs w:val="24"/>
        </w:rPr>
      </w:pPr>
      <w:r>
        <w:rPr/>
      </w:r>
      <m:oMath xmlns:m="http://schemas.openxmlformats.org/officeDocument/2006/math">
        <m:r>
          <w:rPr>
            <w:rFonts w:ascii="Cambria Math" w:hAnsi="Cambria Math"/>
          </w:rPr>
          <m:t xml:space="preserve">W</m:t>
        </m:r>
        <m:r>
          <w:rPr>
            <w:rFonts w:ascii="Cambria Math" w:hAnsi="Cambria Math"/>
          </w:rPr>
          <m:t xml:space="preserve">=</m:t>
        </m:r>
        <m:f>
          <m:num>
            <m:r>
              <w:rPr>
                <w:rFonts w:ascii="Cambria Math" w:hAnsi="Cambria Math"/>
              </w:rPr>
              <m:t xml:space="preserve">4</m:t>
            </m:r>
          </m:num>
          <m:den>
            <m:r>
              <w:rPr>
                <w:rFonts w:ascii="Cambria Math" w:hAnsi="Cambria Math"/>
              </w:rPr>
              <m:t xml:space="preserve">3</m:t>
            </m:r>
          </m:den>
        </m:f>
        <m:r>
          <w:rPr>
            <w:rFonts w:ascii="Cambria Math" w:hAnsi="Cambria Math"/>
          </w:rPr>
          <m:t xml:space="preserve">π</m:t>
        </m:r>
        <m:sSup>
          <m:e>
            <m:r>
              <w:rPr>
                <w:rFonts w:ascii="Cambria Math" w:hAnsi="Cambria Math"/>
              </w:rPr>
              <m:t xml:space="preserve">r</m:t>
            </m:r>
          </m:e>
          <m:sup>
            <m:r>
              <w:rPr>
                <w:rFonts w:ascii="Cambria Math" w:hAnsi="Cambria Math"/>
              </w:rPr>
              <m:t xml:space="preserve">3</m:t>
            </m:r>
          </m:sup>
        </m:sSup>
        <m:r>
          <w:rPr>
            <w:rFonts w:ascii="Cambria Math" w:hAnsi="Cambria Math"/>
          </w:rPr>
          <m:t xml:space="preserve">∆</m:t>
        </m:r>
        <m:sSub>
          <m:e>
            <m:r>
              <w:rPr>
                <w:rFonts w:ascii="Cambria Math" w:hAnsi="Cambria Math"/>
              </w:rPr>
              <m:t xml:space="preserve">G</m:t>
            </m:r>
          </m:e>
          <m:sub>
            <m:r>
              <w:rPr>
                <w:rFonts w:ascii="Cambria Math" w:hAnsi="Cambria Math"/>
              </w:rPr>
              <m:t xml:space="preserve">v</m:t>
            </m:r>
          </m:sub>
        </m:sSub>
        <m:r>
          <w:rPr>
            <w:rFonts w:ascii="Cambria Math" w:hAnsi="Cambria Math"/>
          </w:rPr>
          <m:t xml:space="preserve">+</m:t>
        </m:r>
        <m:r>
          <w:rPr>
            <w:rFonts w:ascii="Cambria Math" w:hAnsi="Cambria Math"/>
          </w:rPr>
          <m:t xml:space="preserve">4</m:t>
        </m:r>
        <m:r>
          <w:rPr>
            <w:rFonts w:ascii="Cambria Math" w:hAnsi="Cambria Math"/>
          </w:rPr>
          <m:t xml:space="preserve">π</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γ</m:t>
        </m:r>
      </m:oMath>
      <w:r>
        <w:rPr>
          <w:rFonts w:eastAsia="" w:cs="Times New Roman" w:ascii="Times New Roman" w:hAnsi="Times New Roman" w:eastAsiaTheme="minorEastAsia"/>
          <w:b/>
          <w:sz w:val="24"/>
          <w:szCs w:val="24"/>
        </w:rPr>
        <w:t xml:space="preserve"> </w:t>
      </w:r>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(3)</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Como os embriões são pequenos, o termo de energia superficial dominará em valores muito baixos do raio </w:t>
      </w:r>
      <w:r>
        <w:rPr>
          <w:rFonts w:cs="Times New Roman" w:ascii="Times New Roman" w:hAnsi="Times New Roman"/>
          <w:b/>
          <w:i/>
          <w:sz w:val="24"/>
          <w:szCs w:val="24"/>
        </w:rPr>
        <w:t>r</w:t>
      </w:r>
      <w:r>
        <w:rPr>
          <w:rFonts w:cs="Times New Roman" w:ascii="Times New Roman" w:hAnsi="Times New Roman"/>
          <w:b/>
          <w:sz w:val="24"/>
          <w:szCs w:val="24"/>
        </w:rPr>
        <w:t xml:space="preserve">. </w:t>
      </w:r>
      <w:r>
        <w:rPr>
          <w:rFonts w:cs="Times New Roman" w:ascii="Times New Roman" w:hAnsi="Times New Roman"/>
          <w:sz w:val="24"/>
          <w:szCs w:val="24"/>
        </w:rPr>
        <w:t xml:space="preserve">O </w:t>
      </w:r>
      <w:bookmarkStart w:id="99" w:name="_Hlk156901302"/>
      <w:r>
        <w:rPr>
          <w:rFonts w:cs="Times New Roman" w:ascii="Times New Roman" w:hAnsi="Times New Roman"/>
          <w:sz w:val="24"/>
          <w:szCs w:val="24"/>
        </w:rPr>
        <w:t>trabalho termodinâmico</w:t>
      </w:r>
      <w:bookmarkEnd w:id="99"/>
      <w:r>
        <w:rPr>
          <w:rFonts w:cs="Times New Roman" w:ascii="Times New Roman" w:hAnsi="Times New Roman"/>
          <w:b/>
          <w:sz w:val="24"/>
          <w:szCs w:val="24"/>
        </w:rPr>
        <w:t xml:space="preserve"> </w:t>
      </w:r>
      <w:r>
        <w:rPr>
          <w:rFonts w:cs="Times New Roman" w:ascii="Times New Roman" w:hAnsi="Times New Roman"/>
          <w:b/>
          <w:i/>
          <w:sz w:val="24"/>
          <w:szCs w:val="24"/>
        </w:rPr>
        <w:t>W</w:t>
      </w:r>
      <w:r>
        <w:rPr>
          <w:rFonts w:cs="Times New Roman" w:ascii="Times New Roman" w:hAnsi="Times New Roman"/>
          <w:sz w:val="24"/>
          <w:szCs w:val="24"/>
        </w:rPr>
        <w:t xml:space="preserve">, aumenta com o aumento de </w:t>
      </w:r>
      <w:r>
        <w:rPr>
          <w:rFonts w:cs="Times New Roman" w:ascii="Times New Roman" w:hAnsi="Times New Roman"/>
          <w:b/>
          <w:i/>
          <w:sz w:val="24"/>
          <w:szCs w:val="24"/>
        </w:rPr>
        <w:t>r</w:t>
      </w:r>
      <w:r>
        <w:rPr>
          <w:rFonts w:cs="Times New Roman" w:ascii="Times New Roman" w:hAnsi="Times New Roman"/>
          <w:sz w:val="24"/>
          <w:szCs w:val="24"/>
        </w:rPr>
        <w:t xml:space="preserve">, porém o embrião permanece instável. Se o embrião continuar crescendo e ultrapassar o raio crítico, a energia volumétrica se tornará maior que a energia superficial, o trabalho termodinâmico </w:t>
      </w:r>
      <w:r>
        <w:rPr>
          <w:rFonts w:cs="Times New Roman" w:ascii="Times New Roman" w:hAnsi="Times New Roman"/>
          <w:b/>
          <w:i/>
          <w:sz w:val="24"/>
          <w:szCs w:val="24"/>
        </w:rPr>
        <w:t>W</w:t>
      </w:r>
      <w:r>
        <w:rPr>
          <w:rFonts w:cs="Times New Roman" w:ascii="Times New Roman" w:hAnsi="Times New Roman"/>
          <w:sz w:val="24"/>
          <w:szCs w:val="24"/>
        </w:rPr>
        <w:t>, começará a diminuir e o embrião torna-se núcleo estável, conforme ilustra o diagrama da figura 21.</w:t>
      </w:r>
    </w:p>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1134" w:hanging="0"/>
        <w:jc w:val="both"/>
        <w:rPr>
          <w:rFonts w:ascii="Times New Roman" w:hAnsi="Times New Roman" w:cs="Times New Roman"/>
          <w:sz w:val="24"/>
          <w:szCs w:val="24"/>
        </w:rPr>
      </w:pPr>
      <w:r>
        <w:rPr>
          <w:rFonts w:cs="Times New Roman" w:ascii="Times New Roman" w:hAnsi="Times New Roman"/>
          <w:sz w:val="24"/>
          <w:szCs w:val="24"/>
        </w:rPr>
        <w:t xml:space="preserve">Figura 21 - Diagrama do trabalho termodinâmico </w:t>
      </w:r>
      <w:r>
        <w:rPr>
          <w:rFonts w:cs="Times New Roman" w:ascii="Times New Roman" w:hAnsi="Times New Roman"/>
          <w:b/>
          <w:i/>
          <w:sz w:val="24"/>
          <w:szCs w:val="24"/>
        </w:rPr>
        <w:t>W</w:t>
      </w:r>
      <w:r>
        <w:rPr>
          <w:rFonts w:cs="Times New Roman" w:ascii="Times New Roman" w:hAnsi="Times New Roman"/>
          <w:sz w:val="24"/>
          <w:szCs w:val="24"/>
        </w:rPr>
        <w:t>.</w:t>
      </w:r>
      <w:bookmarkStart w:id="100" w:name="_Hlk156893612"/>
      <w:bookmarkEnd w:id="100"/>
    </w:p>
    <w:p>
      <w:pPr>
        <w:pStyle w:val="Normal"/>
        <w:spacing w:lineRule="auto" w:line="360" w:before="0" w:after="0"/>
        <w:jc w:val="center"/>
        <w:rPr>
          <w:rFonts w:ascii="Times New Roman" w:hAnsi="Times New Roman" w:cs="Times New Roman"/>
          <w:sz w:val="24"/>
          <w:szCs w:val="24"/>
        </w:rPr>
      </w:pPr>
      <w:r>
        <w:rPr/>
        <w:drawing>
          <wp:inline distT="0" distB="0" distL="0" distR="8255">
            <wp:extent cx="4145280" cy="1717040"/>
            <wp:effectExtent l="0" t="0" r="0" b="0"/>
            <wp:docPr id="29" name="Imagem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45" descr=""/>
                    <pic:cNvPicPr>
                      <a:picLocks noChangeAspect="1" noChangeArrowheads="1"/>
                    </pic:cNvPicPr>
                  </pic:nvPicPr>
                  <pic:blipFill>
                    <a:blip r:embed="rId26"/>
                    <a:srcRect l="27012" t="36242" r="4861" b="9292"/>
                    <a:stretch>
                      <a:fillRect/>
                    </a:stretch>
                  </pic:blipFill>
                  <pic:spPr bwMode="auto">
                    <a:xfrm>
                      <a:off x="0" y="0"/>
                      <a:ext cx="4145280" cy="1717040"/>
                    </a:xfrm>
                    <a:prstGeom prst="rect">
                      <a:avLst/>
                    </a:prstGeom>
                  </pic:spPr>
                </pic:pic>
              </a:graphicData>
            </a:graphic>
          </wp:inline>
        </w:drawing>
      </w:r>
    </w:p>
    <w:p>
      <w:pPr>
        <w:pStyle w:val="Normal"/>
        <w:tabs>
          <w:tab w:val="left" w:pos="7230" w:leader="none"/>
        </w:tabs>
        <w:spacing w:lineRule="auto" w:line="360" w:before="0" w:after="0"/>
        <w:ind w:left="1134" w:right="142" w:hanging="0"/>
        <w:jc w:val="both"/>
        <w:rPr>
          <w:rFonts w:ascii="Times New Roman" w:hAnsi="Times New Roman" w:cs="Times New Roman"/>
          <w:sz w:val="20"/>
          <w:szCs w:val="24"/>
        </w:rPr>
      </w:pPr>
      <w:r>
        <w:rPr>
          <w:rFonts w:cs="Times New Roman" w:ascii="Times New Roman" w:hAnsi="Times New Roman"/>
          <w:sz w:val="20"/>
          <w:szCs w:val="20"/>
        </w:rPr>
        <w:t>Fonte: Material didático do curso de eng. mecânica da UFPR (2023).</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Para se calcular o raio crítico </w:t>
      </w:r>
      <w:r>
        <w:rPr>
          <w:rFonts w:cs="Times New Roman" w:ascii="Times New Roman" w:hAnsi="Times New Roman"/>
          <w:b/>
          <w:i/>
          <w:sz w:val="24"/>
          <w:szCs w:val="24"/>
        </w:rPr>
        <w:t>r*</w:t>
      </w:r>
      <w:r>
        <w:rPr>
          <w:rFonts w:cs="Times New Roman" w:ascii="Times New Roman" w:hAnsi="Times New Roman"/>
          <w:sz w:val="24"/>
          <w:szCs w:val="24"/>
        </w:rPr>
        <w:t xml:space="preserve">, e a </w:t>
      </w:r>
      <w:bookmarkStart w:id="101" w:name="_Hlk156901348"/>
      <w:r>
        <w:rPr>
          <w:rFonts w:cs="Times New Roman" w:ascii="Times New Roman" w:hAnsi="Times New Roman"/>
          <w:sz w:val="24"/>
          <w:szCs w:val="24"/>
        </w:rPr>
        <w:t>energia de livre necessária para a formação de um núcleo estável</w:t>
      </w:r>
      <w:bookmarkEnd w:id="101"/>
      <w:r>
        <w:rPr>
          <w:rFonts w:cs="Times New Roman" w:ascii="Times New Roman" w:hAnsi="Times New Roman"/>
          <w:sz w:val="24"/>
          <w:szCs w:val="24"/>
        </w:rPr>
        <w:t xml:space="preserve"> </w:t>
      </w:r>
      <w:bookmarkStart w:id="102" w:name="_Hlk156901364"/>
      <w:r>
        <w:rPr>
          <w:rFonts w:cs="Times New Roman" w:ascii="Times New Roman" w:hAnsi="Times New Roman"/>
          <w:b/>
          <w:sz w:val="24"/>
          <w:szCs w:val="24"/>
        </w:rPr>
        <w:t>Δ</w:t>
      </w:r>
      <w:r>
        <w:rPr>
          <w:rFonts w:cs="Times New Roman" w:ascii="Times New Roman" w:hAnsi="Times New Roman"/>
          <w:b/>
          <w:i/>
          <w:sz w:val="24"/>
          <w:szCs w:val="24"/>
        </w:rPr>
        <w:t>G*</w:t>
      </w:r>
      <w:bookmarkEnd w:id="102"/>
      <w:r>
        <w:rPr>
          <w:rFonts w:cs="Times New Roman" w:ascii="Times New Roman" w:hAnsi="Times New Roman"/>
          <w:sz w:val="24"/>
          <w:szCs w:val="24"/>
        </w:rPr>
        <w:t xml:space="preserve">, em função de </w:t>
      </w:r>
      <w:r>
        <w:rPr>
          <w:rFonts w:cs="Times New Roman" w:ascii="Times New Roman" w:hAnsi="Times New Roman"/>
          <w:b/>
          <w:sz w:val="24"/>
          <w:szCs w:val="24"/>
        </w:rPr>
        <w:t>ΔG</w:t>
      </w:r>
      <w:r>
        <w:rPr>
          <w:rFonts w:cs="Times New Roman" w:ascii="Times New Roman" w:hAnsi="Times New Roman"/>
          <w:b/>
          <w:sz w:val="24"/>
          <w:szCs w:val="24"/>
          <w:vertAlign w:val="subscript"/>
        </w:rPr>
        <w:t>v</w:t>
      </w:r>
      <w:r>
        <w:rPr>
          <w:rFonts w:cs="Times New Roman" w:ascii="Times New Roman" w:hAnsi="Times New Roman"/>
          <w:b/>
          <w:sz w:val="24"/>
          <w:szCs w:val="24"/>
        </w:rPr>
        <w:t xml:space="preserve"> </w:t>
      </w:r>
      <w:r>
        <w:rPr>
          <w:rFonts w:cs="Times New Roman" w:ascii="Times New Roman" w:hAnsi="Times New Roman"/>
          <w:sz w:val="24"/>
          <w:szCs w:val="24"/>
        </w:rPr>
        <w:t xml:space="preserve">e </w:t>
      </w:r>
      <w:r>
        <w:rPr>
          <w:rFonts w:cs="Times New Roman" w:ascii="Times New Roman" w:hAnsi="Times New Roman"/>
          <w:b/>
          <w:sz w:val="24"/>
          <w:szCs w:val="24"/>
        </w:rPr>
        <w:t>γ</w:t>
      </w:r>
      <w:r>
        <w:rPr>
          <w:rFonts w:cs="Times New Roman" w:ascii="Times New Roman" w:hAnsi="Times New Roman"/>
          <w:sz w:val="24"/>
          <w:szCs w:val="24"/>
        </w:rPr>
        <w:t xml:space="preserve"> devemos derivar a função em relação ao raio e igualamos a zero (pico da curva).</w:t>
      </w:r>
    </w:p>
    <w:p>
      <w:pPr>
        <w:pStyle w:val="Normal"/>
        <w:spacing w:lineRule="auto" w:line="360" w:before="240" w:after="140"/>
        <w:ind w:firstLine="1134"/>
        <w:rPr>
          <w:rFonts w:ascii="Times New Roman" w:hAnsi="Times New Roman" w:eastAsia="" w:cs="Times New Roman" w:eastAsiaTheme="minorEastAsia"/>
          <w:sz w:val="24"/>
          <w:szCs w:val="24"/>
        </w:rPr>
      </w:pPr>
      <w:r>
        <w:rPr/>
      </w:r>
      <m:oMath xmlns:m="http://schemas.openxmlformats.org/officeDocument/2006/math">
        <m:f>
          <m:num>
            <m:r>
              <w:rPr>
                <w:rFonts w:ascii="Cambria Math" w:hAnsi="Cambria Math"/>
              </w:rPr>
              <m:t xml:space="preserve">dW</m:t>
            </m:r>
          </m:num>
          <m:den>
            <m:r>
              <w:rPr>
                <w:rFonts w:ascii="Cambria Math" w:hAnsi="Cambria Math"/>
              </w:rPr>
              <m:t xml:space="preserve">dr</m:t>
            </m:r>
          </m:den>
        </m:f>
        <m:r>
          <w:rPr>
            <w:rFonts w:ascii="Cambria Math" w:hAnsi="Cambria Math"/>
          </w:rPr>
          <m:t xml:space="preserve">=</m:t>
        </m:r>
        <m:r>
          <w:rPr>
            <w:rFonts w:ascii="Cambria Math" w:hAnsi="Cambria Math"/>
          </w:rPr>
          <m:t xml:space="preserve">4</m:t>
        </m:r>
        <m:r>
          <w:rPr>
            <w:rFonts w:ascii="Cambria Math" w:hAnsi="Cambria Math"/>
          </w:rPr>
          <m:t xml:space="preserve">π</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G</m:t>
            </m:r>
          </m:e>
          <m:sub>
            <m:r>
              <w:rPr>
                <w:rFonts w:ascii="Cambria Math" w:hAnsi="Cambria Math"/>
              </w:rPr>
              <m:t xml:space="preserve">v</m:t>
            </m:r>
          </m:sub>
        </m:sSub>
        <m:r>
          <w:rPr>
            <w:rFonts w:ascii="Cambria Math" w:hAnsi="Cambria Math"/>
          </w:rPr>
          <m:t xml:space="preserve">+</m:t>
        </m:r>
        <m:r>
          <w:rPr>
            <w:rFonts w:ascii="Cambria Math" w:hAnsi="Cambria Math"/>
          </w:rPr>
          <m:t xml:space="preserve">8</m:t>
        </m:r>
        <m:r>
          <w:rPr>
            <w:rFonts w:ascii="Cambria Math" w:hAnsi="Cambria Math"/>
          </w:rPr>
          <m:t xml:space="preserve">πrγ</m:t>
        </m:r>
        <m:r>
          <w:rPr>
            <w:rFonts w:ascii="Cambria Math" w:hAnsi="Cambria Math"/>
          </w:rPr>
          <m:t xml:space="preserve">=</m:t>
        </m:r>
        <m:r>
          <w:rPr>
            <w:rFonts w:ascii="Cambria Math" w:hAnsi="Cambria Math"/>
          </w:rPr>
          <m:t xml:space="preserve">0</m:t>
        </m:r>
      </m:oMath>
      <w:r>
        <w:rPr>
          <w:rFonts w:eastAsia="" w:cs="Times New Roman" w:ascii="Times New Roman" w:hAnsi="Times New Roman" w:eastAsiaTheme="minorEastAsia"/>
          <w:b/>
          <w:sz w:val="24"/>
          <w:szCs w:val="24"/>
        </w:rPr>
        <w:t xml:space="preserve"> </w:t>
      </w:r>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 xml:space="preserve">(4) </w:t>
      </w:r>
    </w:p>
    <w:p>
      <w:pPr>
        <w:pStyle w:val="Normal"/>
        <w:spacing w:lineRule="auto" w:line="360" w:before="240" w:after="140"/>
        <w:ind w:firstLine="1134"/>
        <w:rPr>
          <w:rFonts w:ascii="Times New Roman" w:hAnsi="Times New Roman" w:eastAsia="" w:cs="Times New Roman" w:eastAsiaTheme="minorEastAsia"/>
          <w:sz w:val="24"/>
          <w:szCs w:val="24"/>
        </w:rPr>
      </w:pPr>
      <w:r>
        <w:rPr/>
      </w:r>
      <m:oMath xmlns:m="http://schemas.openxmlformats.org/officeDocument/2006/math">
        <m:r>
          <w:rPr>
            <w:rFonts w:ascii="Cambria Math" w:hAnsi="Cambria Math"/>
          </w:rPr>
          <m:t xml:space="preserve">4</m:t>
        </m:r>
        <m:d>
          <m:dPr>
            <m:begChr m:val="("/>
            <m:endChr m:val=")"/>
          </m:dPr>
          <m:e>
            <m:r>
              <w:rPr>
                <w:rFonts w:ascii="Cambria Math" w:hAnsi="Cambria Math"/>
              </w:rPr>
              <m:t xml:space="preserve">π</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Δ</m:t>
            </m:r>
            <m:sSub>
              <m:e>
                <m:r>
                  <w:rPr>
                    <w:rFonts w:ascii="Cambria Math" w:hAnsi="Cambria Math"/>
                  </w:rPr>
                  <m:t xml:space="preserve">G</m:t>
                </m:r>
              </m:e>
              <m:sub>
                <m:r>
                  <w:rPr>
                    <w:rFonts w:ascii="Cambria Math" w:hAnsi="Cambria Math"/>
                  </w:rPr>
                  <m:t xml:space="preserve">v</m:t>
                </m:r>
              </m:sub>
            </m:sSub>
            <m:r>
              <w:rPr>
                <w:rFonts w:ascii="Cambria Math" w:hAnsi="Cambria Math"/>
              </w:rPr>
              <m:t xml:space="preserve">+</m:t>
            </m:r>
            <m:r>
              <w:rPr>
                <w:rFonts w:ascii="Cambria Math" w:hAnsi="Cambria Math"/>
              </w:rPr>
              <m:t xml:space="preserve">2</m:t>
            </m:r>
            <m:r>
              <w:rPr>
                <w:rFonts w:ascii="Cambria Math" w:hAnsi="Cambria Math"/>
              </w:rPr>
              <m:t xml:space="preserve">πrγ</m:t>
            </m:r>
          </m:e>
        </m:d>
        <m:r>
          <w:rPr>
            <w:rFonts w:ascii="Cambria Math" w:hAnsi="Cambria Math"/>
          </w:rPr>
          <m:t xml:space="preserve">=</m:t>
        </m:r>
        <m:r>
          <w:rPr>
            <w:rFonts w:ascii="Cambria Math" w:hAnsi="Cambria Math"/>
          </w:rPr>
          <m:t xml:space="preserve">0</m:t>
        </m:r>
      </m:oMath>
      <w:r>
        <w:rPr>
          <w:rFonts w:eastAsia="" w:cs="Times New Roman" w:ascii="Times New Roman" w:hAnsi="Times New Roman" w:eastAsiaTheme="minorEastAsia"/>
          <w:sz w:val="24"/>
          <w:szCs w:val="24"/>
        </w:rPr>
        <w:t xml:space="preserve"> → </w:t>
      </w:r>
      <w:r>
        <w:rPr/>
      </w:r>
      <m:oMath xmlns:m="http://schemas.openxmlformats.org/officeDocument/2006/math">
        <m:r>
          <w:rPr>
            <w:rFonts w:ascii="Cambria Math" w:hAnsi="Cambria Math"/>
          </w:rPr>
          <m:t xml:space="preserve">4</m:t>
        </m:r>
        <m:r>
          <w:rPr>
            <w:rFonts w:ascii="Cambria Math" w:hAnsi="Cambria Math"/>
          </w:rPr>
          <m:t xml:space="preserve">π</m:t>
        </m:r>
        <m:d>
          <m:dPr>
            <m:begChr m:val="("/>
            <m:endChr m:val=")"/>
          </m:dPr>
          <m:e>
            <m:r>
              <w:rPr>
                <w:rFonts w:ascii="Cambria Math" w:hAnsi="Cambria Math"/>
              </w:rPr>
              <m:t xml:space="preserve">r</m:t>
            </m:r>
            <m:r>
              <w:rPr>
                <w:rFonts w:ascii="Cambria Math" w:hAnsi="Cambria Math"/>
              </w:rPr>
              <m:t xml:space="preserve">²</m:t>
            </m:r>
            <m:sSub>
              <m:e>
                <m:r>
                  <w:rPr>
                    <w:rFonts w:ascii="Cambria Math" w:hAnsi="Cambria Math"/>
                  </w:rPr>
                  <m:t xml:space="preserve">∆</m:t>
                </m:r>
                <m:r>
                  <w:rPr>
                    <w:rFonts w:ascii="Cambria Math" w:hAnsi="Cambria Math"/>
                  </w:rPr>
                  <m:t xml:space="preserve">G</m:t>
                </m:r>
              </m:e>
              <m:sub>
                <m:r>
                  <w:rPr>
                    <w:rFonts w:ascii="Cambria Math" w:hAnsi="Cambria Math"/>
                  </w:rPr>
                  <m:t xml:space="preserve">v</m:t>
                </m:r>
              </m:sub>
            </m:sSub>
            <m:r>
              <w:rPr>
                <w:rFonts w:ascii="Cambria Math" w:hAnsi="Cambria Math"/>
              </w:rPr>
              <m:t xml:space="preserve">+</m:t>
            </m:r>
            <m:r>
              <w:rPr>
                <w:rFonts w:ascii="Cambria Math" w:hAnsi="Cambria Math"/>
              </w:rPr>
              <m:t xml:space="preserve">2</m:t>
            </m:r>
            <m:r>
              <w:rPr>
                <w:rFonts w:ascii="Cambria Math" w:hAnsi="Cambria Math"/>
              </w:rPr>
              <m:t xml:space="preserve">rγ</m:t>
            </m:r>
          </m:e>
        </m:d>
        <m:r>
          <w:rPr>
            <w:rFonts w:ascii="Cambria Math" w:hAnsi="Cambria Math"/>
          </w:rPr>
          <m:t xml:space="preserve">=</m:t>
        </m:r>
        <m:r>
          <w:rPr>
            <w:rFonts w:ascii="Cambria Math" w:hAnsi="Cambria Math"/>
          </w:rPr>
          <m:t xml:space="preserve">0</m:t>
        </m:r>
      </m:oMath>
    </w:p>
    <w:p>
      <w:pPr>
        <w:pStyle w:val="Normal"/>
        <w:spacing w:lineRule="auto" w:line="360" w:before="240" w:after="140"/>
        <w:ind w:firstLine="1134"/>
        <w:rPr>
          <w:rFonts w:ascii="Times New Roman" w:hAnsi="Times New Roman" w:eastAsia="" w:cs="Times New Roman" w:eastAsiaTheme="minorEastAsia"/>
          <w:sz w:val="24"/>
          <w:szCs w:val="24"/>
        </w:rPr>
      </w:pPr>
      <w:r>
        <w:rPr>
          <w:rFonts w:eastAsia="" w:cs="Times New Roman" w:ascii="Times New Roman" w:hAnsi="Times New Roman" w:eastAsiaTheme="minorEastAsia"/>
          <w:sz w:val="24"/>
          <w:szCs w:val="24"/>
        </w:rPr>
        <w:t xml:space="preserve"> </w:t>
      </w:r>
      <w:r>
        <w:rPr/>
      </w:r>
      <m:oMath xmlns:m="http://schemas.openxmlformats.org/officeDocument/2006/math">
        <m:r>
          <w:rPr>
            <w:rFonts w:ascii="Cambria Math" w:hAnsi="Cambria Math"/>
          </w:rPr>
          <m:t xml:space="preserve">r</m:t>
        </m:r>
        <m:d>
          <m:dPr>
            <m:begChr m:val="("/>
            <m:endChr m:val=")"/>
          </m:dPr>
          <m:e>
            <m:r>
              <w:rPr>
                <w:rFonts w:ascii="Cambria Math" w:hAnsi="Cambria Math"/>
              </w:rPr>
              <m:t xml:space="preserve">rΔ</m:t>
            </m:r>
            <m:sSub>
              <m:e>
                <m:r>
                  <w:rPr>
                    <w:rFonts w:ascii="Cambria Math" w:hAnsi="Cambria Math"/>
                  </w:rPr>
                  <m:t xml:space="preserve">G</m:t>
                </m:r>
              </m:e>
              <m:sub>
                <m:r>
                  <w:rPr>
                    <w:rFonts w:ascii="Cambria Math" w:hAnsi="Cambria Math"/>
                  </w:rPr>
                  <m:t xml:space="preserve">v</m:t>
                </m:r>
              </m:sub>
            </m:sSub>
            <m:r>
              <w:rPr>
                <w:rFonts w:ascii="Cambria Math" w:hAnsi="Cambria Math"/>
              </w:rPr>
              <m:t xml:space="preserve">+</m:t>
            </m:r>
            <m:r>
              <w:rPr>
                <w:rFonts w:ascii="Cambria Math" w:hAnsi="Cambria Math"/>
              </w:rPr>
              <m:t xml:space="preserve">2</m:t>
            </m:r>
            <m:r>
              <w:rPr>
                <w:rFonts w:ascii="Cambria Math" w:hAnsi="Cambria Math"/>
              </w:rPr>
              <m:t xml:space="preserve">γ</m:t>
            </m:r>
          </m:e>
        </m:d>
        <m:r>
          <w:rPr>
            <w:rFonts w:ascii="Cambria Math" w:hAnsi="Cambria Math"/>
          </w:rPr>
          <m:t xml:space="preserve">=</m:t>
        </m:r>
        <m:r>
          <w:rPr>
            <w:rFonts w:ascii="Cambria Math" w:hAnsi="Cambria Math"/>
          </w:rPr>
          <m:t xml:space="preserve">0</m:t>
        </m:r>
      </m:oMath>
    </w:p>
    <w:p>
      <w:pPr>
        <w:pStyle w:val="Normal"/>
        <w:spacing w:lineRule="auto" w:line="360" w:before="0" w:after="0"/>
        <w:ind w:firstLine="1134"/>
        <w:rPr>
          <w:rFonts w:ascii="Times New Roman" w:hAnsi="Times New Roman" w:eastAsia="" w:cs="Times New Roman" w:eastAsiaTheme="minorEastAsia"/>
          <w:sz w:val="24"/>
          <w:szCs w:val="24"/>
        </w:rPr>
      </w:pPr>
      <w:r>
        <w:rPr/>
      </w:r>
      <m:oMath xmlns:m="http://schemas.openxmlformats.org/officeDocument/2006/math">
        <m:sSup>
          <m:e>
            <m:r>
              <w:rPr>
                <w:rFonts w:ascii="Cambria Math" w:hAnsi="Cambria Math"/>
              </w:rPr>
              <m:t xml:space="preserve">r</m:t>
            </m:r>
          </m:e>
          <m:sup/>
        </m:sSup>
        <m:r>
          <w:rPr>
            <w:rFonts w:ascii="Cambria Math" w:hAnsi="Cambria Math"/>
          </w:rPr>
          <m:t xml:space="preserve">=</m:t>
        </m:r>
        <m:f>
          <m:num>
            <m:r>
              <w:rPr>
                <w:rFonts w:ascii="Cambria Math" w:hAnsi="Cambria Math"/>
              </w:rPr>
              <m:t xml:space="preserve">−</m:t>
            </m:r>
            <m:r>
              <w:rPr>
                <w:rFonts w:ascii="Cambria Math" w:hAnsi="Cambria Math"/>
              </w:rPr>
              <m:t xml:space="preserve">2</m:t>
            </m:r>
            <m:r>
              <w:rPr>
                <w:rFonts w:ascii="Cambria Math" w:hAnsi="Cambria Math"/>
              </w:rPr>
              <m:t xml:space="preserve">γ</m:t>
            </m:r>
          </m:num>
          <m:den>
            <m:r>
              <w:rPr>
                <w:rFonts w:ascii="Cambria Math" w:hAnsi="Cambria Math"/>
              </w:rPr>
              <m:t xml:space="preserve">Δ</m:t>
            </m:r>
            <m:sSub>
              <m:e>
                <m:r>
                  <w:rPr>
                    <w:rFonts w:ascii="Cambria Math" w:hAnsi="Cambria Math"/>
                  </w:rPr>
                  <m:t xml:space="preserve">G</m:t>
                </m:r>
              </m:e>
              <m:sub>
                <m:r>
                  <w:rPr>
                    <w:rFonts w:ascii="Cambria Math" w:hAnsi="Cambria Math"/>
                  </w:rPr>
                  <m:t xml:space="preserve">v</m:t>
                </m:r>
              </m:sub>
            </m:sSub>
          </m:den>
        </m:f>
      </m:oMath>
      <w:r>
        <w:rPr>
          <w:rFonts w:eastAsia="" w:cs="Times New Roman" w:ascii="Times New Roman" w:hAnsi="Times New Roman" w:eastAsiaTheme="minorEastAsia"/>
          <w:b/>
          <w:sz w:val="24"/>
          <w:szCs w:val="24"/>
        </w:rPr>
        <w:t xml:space="preserve">  </w:t>
      </w:r>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(5)</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Substituindo o </w:t>
      </w:r>
      <w:r>
        <w:rPr>
          <w:rFonts w:cs="Times New Roman" w:ascii="Times New Roman" w:hAnsi="Times New Roman"/>
          <w:b/>
          <w:i/>
          <w:sz w:val="24"/>
          <w:szCs w:val="24"/>
        </w:rPr>
        <w:t>r*</w:t>
      </w:r>
      <w:r>
        <w:rPr>
          <w:rFonts w:cs="Times New Roman" w:ascii="Times New Roman" w:hAnsi="Times New Roman"/>
          <w:sz w:val="24"/>
          <w:szCs w:val="24"/>
        </w:rPr>
        <w:t xml:space="preserve"> na eq. 3, chegamos na expressão:</w:t>
      </w:r>
    </w:p>
    <w:p>
      <w:pPr>
        <w:pStyle w:val="Normal"/>
        <w:spacing w:lineRule="auto" w:line="360"/>
        <w:ind w:firstLine="1134"/>
        <w:jc w:val="both"/>
        <w:rPr>
          <w:rFonts w:ascii="Times New Roman" w:hAnsi="Times New Roman" w:cs="Times New Roman"/>
          <w:sz w:val="24"/>
          <w:szCs w:val="24"/>
        </w:rPr>
      </w:pPr>
      <w:r>
        <w:rPr/>
      </w:r>
      <m:oMath xmlns:m="http://schemas.openxmlformats.org/officeDocument/2006/math">
        <m:sSup>
          <m:e>
            <m:r>
              <w:rPr>
                <w:rFonts w:ascii="Cambria Math" w:hAnsi="Cambria Math"/>
              </w:rPr>
              <m:t xml:space="preserve">∆</m:t>
            </m:r>
            <m:r>
              <w:rPr>
                <w:rFonts w:ascii="Cambria Math" w:hAnsi="Cambria Math"/>
              </w:rPr>
              <m:t xml:space="preserve">G</m:t>
            </m:r>
          </m:e>
          <m:sup/>
        </m:sSup>
        <m:r>
          <w:rPr>
            <w:rFonts w:ascii="Cambria Math" w:hAnsi="Cambria Math"/>
          </w:rPr>
          <m:t xml:space="preserve">=</m:t>
        </m:r>
        <m:r>
          <w:rPr>
            <w:rFonts w:ascii="Cambria Math" w:hAnsi="Cambria Math"/>
          </w:rPr>
          <m:t xml:space="preserve">16</m:t>
        </m:r>
        <m:r>
          <w:rPr>
            <w:rFonts w:ascii="Cambria Math" w:hAnsi="Cambria Math"/>
          </w:rPr>
          <m:t xml:space="preserve">π</m:t>
        </m:r>
        <m:f>
          <m:fPr>
            <m:type m:val="lin"/>
          </m:fPr>
          <m:num>
            <m:sSup>
              <m:e>
                <m:r>
                  <w:rPr>
                    <w:rFonts w:ascii="Cambria Math" w:hAnsi="Cambria Math"/>
                  </w:rPr>
                  <m:t xml:space="preserve">γ</m:t>
                </m:r>
              </m:e>
              <m:sup>
                <m:r>
                  <w:rPr>
                    <w:rFonts w:ascii="Cambria Math" w:hAnsi="Cambria Math"/>
                  </w:rPr>
                  <m:t xml:space="preserve">3</m:t>
                </m:r>
              </m:sup>
            </m:sSup>
          </m:num>
          <m:den>
            <m:r>
              <w:rPr>
                <w:rFonts w:ascii="Cambria Math" w:hAnsi="Cambria Math"/>
              </w:rPr>
              <m:t xml:space="preserve">3</m:t>
            </m:r>
          </m:den>
        </m:f>
        <m:r>
          <w:rPr>
            <w:rFonts w:ascii="Cambria Math" w:hAnsi="Cambria Math"/>
          </w:rPr>
          <m:t xml:space="preserve">∆</m:t>
        </m:r>
        <m:sSubSup>
          <m:e>
            <m:r>
              <w:rPr>
                <w:rFonts w:ascii="Cambria Math" w:hAnsi="Cambria Math"/>
              </w:rPr>
              <m:t xml:space="preserve">G</m:t>
            </m:r>
          </m:e>
          <m:sub>
            <m:r>
              <w:rPr>
                <w:rFonts w:ascii="Cambria Math" w:hAnsi="Cambria Math"/>
              </w:rPr>
              <m:t xml:space="preserve">v</m:t>
            </m:r>
          </m:sub>
          <m:sup>
            <m:r>
              <w:rPr>
                <w:rFonts w:ascii="Cambria Math" w:hAnsi="Cambria Math"/>
              </w:rPr>
              <m:t xml:space="preserve">2</m:t>
            </m:r>
          </m:sup>
        </m:sSubSup>
      </m:oMath>
      <w:r>
        <w:rPr>
          <w:rFonts w:eastAsia="" w:cs="Times New Roman" w:ascii="Times New Roman" w:hAnsi="Times New Roman" w:eastAsiaTheme="minorEastAsia"/>
          <w:b/>
          <w:sz w:val="24"/>
          <w:szCs w:val="24"/>
        </w:rPr>
        <w:t xml:space="preserve">                                                                                                                  </w:t>
      </w:r>
      <w:r>
        <w:rPr>
          <w:rFonts w:eastAsia="" w:cs="Times New Roman" w:ascii="Times New Roman" w:hAnsi="Times New Roman" w:eastAsiaTheme="minorEastAsia"/>
          <w:sz w:val="24"/>
          <w:szCs w:val="24"/>
        </w:rPr>
        <w:t>(6)</w:t>
      </w:r>
    </w:p>
    <w:p>
      <w:pPr>
        <w:pStyle w:val="Normal"/>
        <w:spacing w:lineRule="auto" w:line="360"/>
        <w:ind w:firstLine="1134"/>
        <w:jc w:val="both"/>
        <w:rPr>
          <w:rFonts w:ascii="Times New Roman" w:hAnsi="Times New Roman" w:cs="Times New Roman"/>
          <w:sz w:val="24"/>
          <w:szCs w:val="24"/>
        </w:rPr>
      </w:pPr>
      <w:bookmarkStart w:id="103" w:name="_Hlk149555240"/>
      <w:bookmarkEnd w:id="103"/>
      <w:r>
        <w:rPr>
          <w:rFonts w:cs="Times New Roman" w:ascii="Times New Roman" w:hAnsi="Times New Roman"/>
          <w:sz w:val="24"/>
          <w:szCs w:val="24"/>
        </w:rPr>
        <w:t xml:space="preserve">Se expressarmos a variação da energia livre por mol, </w:t>
      </w:r>
      <w:r>
        <w:rPr>
          <w:rFonts w:cs="Times New Roman" w:ascii="Times New Roman" w:hAnsi="Times New Roman"/>
          <w:b/>
          <w:sz w:val="24"/>
          <w:szCs w:val="24"/>
        </w:rPr>
        <w:t>ΔG</w:t>
      </w:r>
      <w:r>
        <w:rPr>
          <w:rFonts w:cs="Times New Roman" w:ascii="Times New Roman" w:hAnsi="Times New Roman"/>
          <w:sz w:val="24"/>
          <w:szCs w:val="24"/>
        </w:rPr>
        <w:t>, em vez de por unidade de volume, como às vezes é feito, podemos fazer a substituição:</w:t>
      </w:r>
    </w:p>
    <w:p>
      <w:pPr>
        <w:pStyle w:val="Normal"/>
        <w:spacing w:lineRule="auto" w:line="360" w:before="0" w:after="0"/>
        <w:ind w:firstLine="1134"/>
        <w:jc w:val="both"/>
        <w:rPr>
          <w:rFonts w:ascii="Times New Roman" w:hAnsi="Times New Roman" w:cs="Times New Roman"/>
          <w:sz w:val="24"/>
          <w:szCs w:val="24"/>
        </w:rPr>
      </w:pPr>
      <w:r>
        <w:rPr/>
      </w:r>
      <m:oMath xmlns:m="http://schemas.openxmlformats.org/officeDocument/2006/math">
        <m:r>
          <w:rPr>
            <w:rFonts w:ascii="Cambria Math" w:hAnsi="Cambria Math"/>
          </w:rPr>
          <m:t xml:space="preserve">∆</m:t>
        </m:r>
        <m:r>
          <w:rPr>
            <w:rFonts w:ascii="Cambria Math" w:hAnsi="Cambria Math"/>
          </w:rPr>
          <m:t xml:space="preserve">G</m:t>
        </m:r>
        <m:r>
          <w:rPr>
            <w:rFonts w:ascii="Cambria Math" w:hAnsi="Cambria Math"/>
          </w:rPr>
          <m:t xml:space="preserve">=</m:t>
        </m:r>
        <m:sSub>
          <m:e>
            <m:r>
              <w:rPr>
                <w:rFonts w:ascii="Cambria Math" w:hAnsi="Cambria Math"/>
              </w:rPr>
              <m:t xml:space="preserve">V</m:t>
            </m:r>
          </m:e>
          <m:sub>
            <m:r>
              <w:rPr>
                <w:rFonts w:ascii="Cambria Math" w:hAnsi="Cambria Math"/>
              </w:rPr>
              <m:t xml:space="preserve">m</m:t>
            </m:r>
          </m:sub>
        </m:sSub>
        <m:sSub>
          <m:e>
            <m:r>
              <w:rPr>
                <w:rFonts w:ascii="Cambria Math" w:hAnsi="Cambria Math"/>
              </w:rPr>
              <m:t xml:space="preserve">∆</m:t>
            </m:r>
            <m:r>
              <w:rPr>
                <w:rFonts w:ascii="Cambria Math" w:hAnsi="Cambria Math"/>
              </w:rPr>
              <m:t xml:space="preserve">G</m:t>
            </m:r>
          </m:e>
          <m:sub>
            <m:r>
              <w:rPr>
                <w:rFonts w:ascii="Cambria Math" w:hAnsi="Cambria Math"/>
              </w:rPr>
              <m:t xml:space="preserve">v</m:t>
            </m:r>
          </m:sub>
        </m:sSub>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(7)</w:t>
      </w:r>
    </w:p>
    <w:p>
      <w:pPr>
        <w:pStyle w:val="Normal"/>
        <w:spacing w:lineRule="auto" w:line="360" w:before="240" w:after="0"/>
        <w:ind w:firstLine="1134"/>
        <w:jc w:val="both"/>
        <w:rPr>
          <w:rFonts w:ascii="Times New Roman" w:hAnsi="Times New Roman" w:cs="Times New Roman"/>
          <w:sz w:val="24"/>
          <w:szCs w:val="24"/>
        </w:rPr>
      </w:pPr>
      <w:bookmarkStart w:id="104" w:name="_Hlk149555240"/>
      <w:bookmarkStart w:id="105" w:name="_Hlk149555397"/>
      <w:bookmarkEnd w:id="104"/>
      <w:r>
        <w:rPr>
          <w:rFonts w:cs="Times New Roman" w:ascii="Times New Roman" w:hAnsi="Times New Roman"/>
          <w:sz w:val="24"/>
          <w:szCs w:val="24"/>
        </w:rPr>
        <w:t xml:space="preserve">Onde </w:t>
      </w:r>
      <w:bookmarkStart w:id="106" w:name="_Hlk156901667"/>
      <w:r>
        <w:rPr>
          <w:rFonts w:cs="Times New Roman" w:ascii="Times New Roman" w:hAnsi="Times New Roman"/>
          <w:b/>
          <w:sz w:val="24"/>
          <w:szCs w:val="24"/>
        </w:rPr>
        <w:t>V</w:t>
      </w:r>
      <w:r>
        <w:rPr>
          <w:rFonts w:cs="Times New Roman" w:ascii="Times New Roman" w:hAnsi="Times New Roman"/>
          <w:b/>
          <w:sz w:val="24"/>
          <w:szCs w:val="24"/>
          <w:vertAlign w:val="subscript"/>
        </w:rPr>
        <w:t>m</w:t>
      </w:r>
      <w:r>
        <w:rPr>
          <w:rFonts w:cs="Times New Roman" w:ascii="Times New Roman" w:hAnsi="Times New Roman"/>
          <w:sz w:val="24"/>
          <w:szCs w:val="24"/>
        </w:rPr>
        <w:t xml:space="preserve">, é o volume molar da fase cristalina e </w:t>
      </w:r>
      <w:r>
        <w:rPr>
          <w:rFonts w:cs="Times New Roman" w:ascii="Times New Roman" w:hAnsi="Times New Roman"/>
          <w:b/>
          <w:sz w:val="24"/>
          <w:szCs w:val="24"/>
        </w:rPr>
        <w:t>ΔG</w:t>
      </w:r>
      <w:r>
        <w:rPr>
          <w:rFonts w:cs="Times New Roman" w:ascii="Times New Roman" w:hAnsi="Times New Roman"/>
          <w:sz w:val="24"/>
          <w:szCs w:val="24"/>
        </w:rPr>
        <w:t xml:space="preserve"> é o volume mudança de energia livre por mol na cristalização</w:t>
      </w:r>
      <w:bookmarkEnd w:id="105"/>
      <w:bookmarkEnd w:id="106"/>
      <w:r>
        <w:rPr>
          <w:rFonts w:cs="Times New Roman" w:ascii="Times New Roman" w:hAnsi="Times New Roman"/>
          <w:sz w:val="24"/>
          <w:szCs w:val="24"/>
        </w:rPr>
        <w:t>.</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Como </w:t>
      </w:r>
      <w:r>
        <w:rPr>
          <w:rFonts w:cs="Times New Roman" w:ascii="Times New Roman" w:hAnsi="Times New Roman"/>
          <w:b/>
          <w:i/>
          <w:sz w:val="24"/>
          <w:szCs w:val="24"/>
        </w:rPr>
        <w:t>ΔG</w:t>
      </w:r>
      <w:r>
        <w:rPr>
          <w:rFonts w:cs="Times New Roman" w:ascii="Times New Roman" w:hAnsi="Times New Roman"/>
          <w:i/>
          <w:sz w:val="24"/>
          <w:szCs w:val="24"/>
        </w:rPr>
        <w:t xml:space="preserve"> </w:t>
      </w:r>
      <w:bookmarkStart w:id="107" w:name="_Hlk149555267"/>
      <w:r>
        <w:rPr>
          <w:rFonts w:cs="Times New Roman" w:ascii="Times New Roman" w:hAnsi="Times New Roman"/>
          <w:i/>
          <w:sz w:val="24"/>
          <w:szCs w:val="24"/>
        </w:rPr>
        <w:t xml:space="preserve">= </w:t>
      </w:r>
      <w:r>
        <w:rPr>
          <w:rFonts w:cs="Times New Roman" w:ascii="Times New Roman" w:hAnsi="Times New Roman"/>
          <w:b/>
          <w:i/>
          <w:sz w:val="24"/>
          <w:szCs w:val="24"/>
        </w:rPr>
        <w:t>V</w:t>
      </w:r>
      <w:r>
        <w:rPr>
          <w:rFonts w:cs="Times New Roman" w:ascii="Times New Roman" w:hAnsi="Times New Roman"/>
          <w:b/>
          <w:i/>
          <w:sz w:val="24"/>
          <w:szCs w:val="24"/>
          <w:vertAlign w:val="subscript"/>
        </w:rPr>
        <w:t>m</w:t>
      </w:r>
      <w:r>
        <w:rPr>
          <w:rFonts w:cs="Times New Roman" w:ascii="Times New Roman" w:hAnsi="Times New Roman"/>
          <w:b/>
          <w:i/>
          <w:sz w:val="24"/>
          <w:szCs w:val="24"/>
        </w:rPr>
        <w:t xml:space="preserve"> ΔG</w:t>
      </w:r>
      <w:r>
        <w:rPr>
          <w:rFonts w:cs="Times New Roman" w:ascii="Times New Roman" w:hAnsi="Times New Roman"/>
          <w:b/>
          <w:i/>
          <w:sz w:val="24"/>
          <w:szCs w:val="24"/>
          <w:vertAlign w:val="subscript"/>
        </w:rPr>
        <w:t>v</w:t>
      </w:r>
      <w:bookmarkEnd w:id="107"/>
      <w:r>
        <w:rPr>
          <w:rFonts w:cs="Times New Roman" w:ascii="Times New Roman" w:hAnsi="Times New Roman"/>
          <w:sz w:val="24"/>
          <w:szCs w:val="24"/>
        </w:rPr>
        <w:t>, as expressões podem ser escritas em um valor molar ou base de volume, ou seja, como: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
      <m:oMath xmlns:m="http://schemas.openxmlformats.org/officeDocument/2006/math">
        <m:r>
          <w:rPr>
            <w:rFonts w:ascii="Cambria Math" w:hAnsi="Cambria Math"/>
          </w:rPr>
          <m:t xml:space="preserve">∆</m:t>
        </m:r>
        <m:r>
          <w:rPr>
            <w:rFonts w:ascii="Cambria Math" w:hAnsi="Cambria Math"/>
          </w:rPr>
          <m:t xml:space="preserve">G</m:t>
        </m:r>
        <m:r>
          <w:rPr>
            <w:rFonts w:ascii="Cambria Math" w:hAnsi="Cambria Math"/>
          </w:rPr>
          <m:t xml:space="preserve">=</m:t>
        </m:r>
        <m:r>
          <w:rPr>
            <w:rFonts w:ascii="Cambria Math" w:hAnsi="Cambria Math"/>
          </w:rPr>
          <m:t xml:space="preserve">−</m:t>
        </m:r>
        <m:sSub>
          <m:e>
            <m:r>
              <w:rPr>
                <w:rFonts w:ascii="Cambria Math" w:hAnsi="Cambria Math"/>
              </w:rPr>
              <m:t xml:space="preserve">∆</m:t>
            </m:r>
            <m:r>
              <w:rPr>
                <w:rFonts w:ascii="Cambria Math" w:hAnsi="Cambria Math"/>
              </w:rPr>
              <m:t xml:space="preserve">H</m:t>
            </m:r>
          </m:e>
          <m:sub>
            <m:r>
              <w:rPr>
                <w:rFonts w:ascii="Cambria Math" w:hAnsi="Cambria Math"/>
              </w:rPr>
              <m:t xml:space="preserve">f</m:t>
            </m:r>
          </m:sub>
        </m:sSub>
        <m:f>
          <m:fPr>
            <m:type m:val="lin"/>
          </m:fPr>
          <m:num>
            <m:d>
              <m:dPr>
                <m:begChr m:val="("/>
                <m:endChr m:val=")"/>
              </m:dPr>
              <m:e>
                <m:sSub>
                  <m:e>
                    <m:r>
                      <w:rPr>
                        <w:rFonts w:ascii="Cambria Math" w:hAnsi="Cambria Math"/>
                      </w:rPr>
                      <m:t xml:space="preserve">T</m:t>
                    </m:r>
                  </m:e>
                  <m:sub>
                    <m:r>
                      <w:rPr>
                        <w:rFonts w:ascii="Cambria Math" w:hAnsi="Cambria Math"/>
                      </w:rPr>
                      <m:t xml:space="preserve">l</m:t>
                    </m:r>
                  </m:sub>
                </m:sSub>
                <m:r>
                  <w:rPr>
                    <w:rFonts w:ascii="Cambria Math" w:hAnsi="Cambria Math"/>
                  </w:rPr>
                  <m:t xml:space="preserve">−</m:t>
                </m:r>
                <m:r>
                  <w:rPr>
                    <w:rFonts w:ascii="Cambria Math" w:hAnsi="Cambria Math"/>
                  </w:rPr>
                  <m:t xml:space="preserve">T</m:t>
                </m:r>
              </m:e>
            </m:d>
          </m:num>
          <m:den>
            <m:sSub>
              <m:e>
                <m:r>
                  <w:rPr>
                    <w:rFonts w:ascii="Cambria Math" w:hAnsi="Cambria Math"/>
                  </w:rPr>
                  <m:t xml:space="preserve">T</m:t>
                </m:r>
              </m:e>
              <m:sub>
                <m:r>
                  <w:rPr>
                    <w:rFonts w:ascii="Cambria Math" w:hAnsi="Cambria Math"/>
                  </w:rPr>
                  <m:t xml:space="preserve">l</m:t>
                </m:r>
              </m:sub>
            </m:sSub>
          </m:den>
        </m:f>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(8)</w:t>
      </w:r>
    </w:p>
    <w:p>
      <w:pPr>
        <w:pStyle w:val="Normal"/>
        <w:spacing w:lineRule="auto" w:line="360" w:before="0" w:after="0"/>
        <w:ind w:firstLine="1134"/>
        <w:jc w:val="both"/>
        <w:rPr>
          <w:rFonts w:ascii="Times New Roman" w:hAnsi="Times New Roman" w:cs="Times New Roman"/>
          <w:sz w:val="24"/>
          <w:szCs w:val="24"/>
        </w:rPr>
      </w:pPr>
      <w:r>
        <w:rPr/>
      </w:r>
      <m:oMath xmlns:m="http://schemas.openxmlformats.org/officeDocument/2006/math">
        <m:sSub>
          <m:e>
            <m:r>
              <w:rPr>
                <w:rFonts w:ascii="Cambria Math" w:hAnsi="Cambria Math"/>
              </w:rPr>
              <m:t xml:space="preserve">∆</m:t>
            </m:r>
            <m:r>
              <w:rPr>
                <w:rFonts w:ascii="Cambria Math" w:hAnsi="Cambria Math"/>
              </w:rPr>
              <m:t xml:space="preserve">G</m:t>
            </m:r>
          </m:e>
          <m:sub>
            <m:r>
              <w:rPr>
                <w:rFonts w:ascii="Cambria Math" w:hAnsi="Cambria Math"/>
              </w:rPr>
              <m:t xml:space="preserve">v</m:t>
            </m:r>
          </m:sub>
        </m:sSub>
        <m:r>
          <w:rPr>
            <w:rFonts w:ascii="Cambria Math" w:hAnsi="Cambria Math"/>
          </w:rPr>
          <m:t xml:space="preserve">=</m:t>
        </m:r>
        <m:r>
          <w:rPr>
            <w:rFonts w:ascii="Cambria Math" w:hAnsi="Cambria Math"/>
          </w:rPr>
          <m:t xml:space="preserve">−</m:t>
        </m:r>
        <m:sSub>
          <m:e>
            <m:r>
              <w:rPr>
                <w:rFonts w:ascii="Cambria Math" w:hAnsi="Cambria Math"/>
              </w:rPr>
              <m:t xml:space="preserve">∆</m:t>
            </m:r>
            <m:r>
              <w:rPr>
                <w:rFonts w:ascii="Cambria Math" w:hAnsi="Cambria Math"/>
              </w:rPr>
              <m:t xml:space="preserve">H</m:t>
            </m:r>
          </m:e>
          <m:sub>
            <m:r>
              <w:rPr>
                <w:rFonts w:ascii="Cambria Math" w:hAnsi="Cambria Math"/>
              </w:rPr>
              <m:t xml:space="preserve">f</m:t>
            </m:r>
          </m:sub>
        </m:sSub>
        <m:f>
          <m:fPr>
            <m:type m:val="lin"/>
          </m:fPr>
          <m:num>
            <m:d>
              <m:dPr>
                <m:begChr m:val="("/>
                <m:endChr m:val=")"/>
              </m:dPr>
              <m:e>
                <m:sSub>
                  <m:e>
                    <m:r>
                      <w:rPr>
                        <w:rFonts w:ascii="Cambria Math" w:hAnsi="Cambria Math"/>
                      </w:rPr>
                      <m:t xml:space="preserve">T</m:t>
                    </m:r>
                  </m:e>
                  <m:sub>
                    <m:r>
                      <w:rPr>
                        <w:rFonts w:ascii="Cambria Math" w:hAnsi="Cambria Math"/>
                      </w:rPr>
                      <m:t xml:space="preserve">l</m:t>
                    </m:r>
                  </m:sub>
                </m:sSub>
                <m:r>
                  <w:rPr>
                    <w:rFonts w:ascii="Cambria Math" w:hAnsi="Cambria Math"/>
                  </w:rPr>
                  <m:t xml:space="preserve">−</m:t>
                </m:r>
                <m:r>
                  <w:rPr>
                    <w:rFonts w:ascii="Cambria Math" w:hAnsi="Cambria Math"/>
                  </w:rPr>
                  <m:t xml:space="preserve">T</m:t>
                </m:r>
              </m:e>
            </m:d>
          </m:num>
          <m:den>
            <m:sSub>
              <m:e>
                <m:r>
                  <w:rPr>
                    <w:rFonts w:ascii="Cambria Math" w:hAnsi="Cambria Math"/>
                  </w:rPr>
                  <m:t xml:space="preserve">V</m:t>
                </m:r>
              </m:e>
              <m:sub>
                <m:r>
                  <w:rPr>
                    <w:rFonts w:ascii="Cambria Math" w:hAnsi="Cambria Math"/>
                  </w:rPr>
                  <m:t xml:space="preserve">m</m:t>
                </m:r>
              </m:sub>
            </m:sSub>
          </m:den>
        </m:f>
        <m:sSub>
          <m:e>
            <m:r>
              <w:rPr>
                <w:rFonts w:ascii="Cambria Math" w:hAnsi="Cambria Math"/>
              </w:rPr>
              <m:t xml:space="preserve">T</m:t>
            </m:r>
          </m:e>
          <m:sub>
            <m:r>
              <w:rPr>
                <w:rFonts w:ascii="Cambria Math" w:hAnsi="Cambria Math"/>
              </w:rPr>
              <m:t xml:space="preserve">l</m:t>
            </m:r>
          </m:sub>
        </m:sSub>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(9)</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w:t>
      </w:r>
      <w:bookmarkStart w:id="108" w:name="_Hlk156901713"/>
      <w:r>
        <w:rPr>
          <w:rFonts w:cs="Times New Roman" w:ascii="Times New Roman" w:hAnsi="Times New Roman"/>
          <w:b/>
          <w:i/>
          <w:sz w:val="24"/>
          <w:szCs w:val="24"/>
        </w:rPr>
        <w:t>ΔH</w:t>
      </w:r>
      <w:r>
        <w:rPr>
          <w:rFonts w:cs="Times New Roman" w:ascii="Times New Roman" w:hAnsi="Times New Roman"/>
          <w:b/>
          <w:i/>
          <w:sz w:val="24"/>
          <w:szCs w:val="24"/>
          <w:vertAlign w:val="subscript"/>
        </w:rPr>
        <w:t>f</w:t>
      </w:r>
      <w:r>
        <w:rPr>
          <w:rFonts w:cs="Times New Roman" w:ascii="Times New Roman" w:hAnsi="Times New Roman"/>
          <w:sz w:val="24"/>
          <w:szCs w:val="24"/>
        </w:rPr>
        <w:t xml:space="preserve"> é a entalpia de fusão</w:t>
      </w:r>
      <w:bookmarkEnd w:id="108"/>
      <w:r>
        <w:rPr>
          <w:rFonts w:cs="Times New Roman" w:ascii="Times New Roman" w:hAnsi="Times New Roman"/>
          <w:sz w:val="24"/>
          <w:szCs w:val="24"/>
        </w:rPr>
        <w:t>.</w:t>
      </w:r>
    </w:p>
    <w:p>
      <w:pPr>
        <w:pStyle w:val="Normal"/>
        <w:spacing w:lineRule="auto" w:line="360" w:before="0" w:after="0"/>
        <w:ind w:right="-1"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right="-1" w:firstLine="1134"/>
        <w:jc w:val="both"/>
        <w:rPr>
          <w:rFonts w:ascii="Times New Roman" w:hAnsi="Times New Roman"/>
          <w:sz w:val="24"/>
          <w:szCs w:val="20"/>
        </w:rPr>
      </w:pPr>
      <w:r>
        <w:rPr>
          <w:rFonts w:cs="Times New Roman" w:ascii="Times New Roman" w:hAnsi="Times New Roman"/>
          <w:sz w:val="24"/>
        </w:rPr>
        <w:t xml:space="preserve">A figura 22 compara a energia livre necessária para formação de um núcleo estável, em função do raio crítico, em diferentes temperaturas de cristalização. </w:t>
      </w:r>
    </w:p>
    <w:p>
      <w:pPr>
        <w:pStyle w:val="Normal"/>
        <w:spacing w:lineRule="auto" w:line="360" w:before="0" w:after="0"/>
        <w:ind w:right="-1"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right="-1"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right="-1"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left="567" w:hanging="0"/>
        <w:jc w:val="both"/>
        <w:rPr/>
      </w:pPr>
      <w:r>
        <w:rPr/>
      </w:r>
      <w:bookmarkStart w:id="109" w:name="_Hlk156893669"/>
      <w:bookmarkStart w:id="110" w:name="_Hlk156893669"/>
    </w:p>
    <w:p>
      <w:pPr>
        <w:pStyle w:val="Normal"/>
        <w:spacing w:lineRule="auto" w:line="360" w:before="0" w:after="0"/>
        <w:ind w:left="567" w:hanging="0"/>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left="567" w:hanging="0"/>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left="567" w:hanging="0"/>
        <w:jc w:val="both"/>
        <w:rPr>
          <w:rFonts w:ascii="Times New Roman" w:hAnsi="Times New Roman" w:cs="Times New Roman"/>
          <w:sz w:val="24"/>
        </w:rPr>
      </w:pPr>
      <w:r>
        <w:rPr>
          <w:rFonts w:cs="Times New Roman" w:ascii="Times New Roman" w:hAnsi="Times New Roman"/>
          <w:sz w:val="24"/>
        </w:rPr>
        <w:t xml:space="preserve">Figura 22 - </w:t>
      </w:r>
      <w:r>
        <w:rPr>
          <w:rFonts w:cs="Times New Roman" w:ascii="Times New Roman" w:hAnsi="Times New Roman"/>
          <w:b/>
          <w:i/>
          <w:sz w:val="24"/>
          <w:szCs w:val="24"/>
        </w:rPr>
        <w:t>ΔG*</w:t>
      </w:r>
      <w:r>
        <w:rPr>
          <w:rFonts w:cs="Times New Roman" w:ascii="Times New Roman" w:hAnsi="Times New Roman"/>
          <w:sz w:val="24"/>
          <w:szCs w:val="24"/>
        </w:rPr>
        <w:t xml:space="preserve"> em função de </w:t>
      </w:r>
      <w:r>
        <w:rPr>
          <w:rFonts w:cs="Times New Roman" w:ascii="Times New Roman" w:hAnsi="Times New Roman"/>
          <w:b/>
          <w:i/>
          <w:sz w:val="24"/>
          <w:szCs w:val="24"/>
        </w:rPr>
        <w:t>r*</w:t>
      </w:r>
      <w:r>
        <w:rPr>
          <w:rFonts w:cs="Times New Roman" w:ascii="Times New Roman" w:hAnsi="Times New Roman"/>
          <w:sz w:val="24"/>
        </w:rPr>
        <w:t xml:space="preserve"> em diferentes temperaturas de cristalização.</w:t>
      </w:r>
      <w:bookmarkStart w:id="111" w:name="_Hlk151540533"/>
      <w:bookmarkEnd w:id="110"/>
      <w:bookmarkEnd w:id="111"/>
    </w:p>
    <w:p>
      <w:pPr>
        <w:pStyle w:val="Normal"/>
        <w:spacing w:lineRule="auto" w:line="360" w:before="0" w:after="0"/>
        <w:jc w:val="center"/>
        <w:rPr/>
      </w:pPr>
      <w:r>
        <w:rPr/>
        <w:drawing>
          <wp:inline distT="0" distB="0" distL="0" distR="0">
            <wp:extent cx="4922520" cy="2806700"/>
            <wp:effectExtent l="0" t="0" r="0" b="0"/>
            <wp:docPr id="30" name="Imagem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50" descr=""/>
                    <pic:cNvPicPr>
                      <a:picLocks noChangeAspect="1" noChangeArrowheads="1"/>
                    </pic:cNvPicPr>
                  </pic:nvPicPr>
                  <pic:blipFill>
                    <a:blip r:embed="rId27"/>
                    <a:srcRect l="47866" t="28013" r="5569" b="20620"/>
                    <a:stretch>
                      <a:fillRect/>
                    </a:stretch>
                  </pic:blipFill>
                  <pic:spPr bwMode="auto">
                    <a:xfrm>
                      <a:off x="0" y="0"/>
                      <a:ext cx="4922520" cy="2806700"/>
                    </a:xfrm>
                    <a:prstGeom prst="rect">
                      <a:avLst/>
                    </a:prstGeom>
                  </pic:spPr>
                </pic:pic>
              </a:graphicData>
            </a:graphic>
          </wp:inline>
        </w:drawing>
      </w:r>
    </w:p>
    <w:p>
      <w:pPr>
        <w:pStyle w:val="Normal"/>
        <w:tabs>
          <w:tab w:val="left" w:pos="7230" w:leader="none"/>
        </w:tabs>
        <w:spacing w:lineRule="auto" w:line="360" w:before="0" w:after="0"/>
        <w:ind w:left="567" w:right="142" w:hanging="0"/>
        <w:jc w:val="both"/>
        <w:rPr>
          <w:rFonts w:ascii="Times New Roman" w:hAnsi="Times New Roman" w:cs="Times New Roman"/>
          <w:sz w:val="20"/>
          <w:szCs w:val="24"/>
        </w:rPr>
      </w:pPr>
      <w:r>
        <w:rPr>
          <w:rFonts w:cs="Times New Roman" w:ascii="Times New Roman" w:hAnsi="Times New Roman"/>
          <w:sz w:val="20"/>
          <w:szCs w:val="20"/>
        </w:rPr>
        <w:t>Fonte: Material didático do curso de eng. mecânica da UFPR (2023).</w:t>
      </w:r>
    </w:p>
    <w:p>
      <w:pPr>
        <w:pStyle w:val="Normal"/>
        <w:spacing w:lineRule="auto" w:line="360" w:before="0" w:after="0"/>
        <w:ind w:right="-1" w:firstLine="1134"/>
        <w:jc w:val="both"/>
        <w:rPr>
          <w:rFonts w:ascii="Times New Roman" w:hAnsi="Times New Roman" w:cs="Times New Roman"/>
          <w:sz w:val="24"/>
        </w:rPr>
      </w:pPr>
      <w:r>
        <w:rPr>
          <w:rFonts w:cs="Times New Roman" w:ascii="Times New Roman" w:hAnsi="Times New Roman"/>
          <w:sz w:val="24"/>
        </w:rPr>
      </w:r>
    </w:p>
    <w:p>
      <w:pPr>
        <w:pStyle w:val="Normal"/>
        <w:spacing w:lineRule="auto" w:line="360" w:before="0" w:after="0"/>
        <w:ind w:right="-1" w:firstLine="1134"/>
        <w:jc w:val="both"/>
        <w:rPr>
          <w:rFonts w:ascii="Times New Roman" w:hAnsi="Times New Roman" w:cs="Times New Roman"/>
          <w:sz w:val="24"/>
        </w:rPr>
      </w:pPr>
      <w:r>
        <w:rPr>
          <w:rFonts w:cs="Times New Roman" w:ascii="Times New Roman" w:hAnsi="Times New Roman"/>
          <w:sz w:val="24"/>
        </w:rPr>
        <w:t>Pelo diagrama percebe-se que:</w:t>
      </w:r>
    </w:p>
    <w:p>
      <w:pPr>
        <w:pStyle w:val="ListParagraph"/>
        <w:numPr>
          <w:ilvl w:val="0"/>
          <w:numId w:val="9"/>
        </w:numPr>
        <w:spacing w:lineRule="auto" w:line="360" w:before="0" w:after="0"/>
        <w:ind w:left="0" w:right="-1" w:firstLine="1134"/>
        <w:contextualSpacing/>
        <w:jc w:val="both"/>
        <w:rPr>
          <w:rFonts w:ascii="Times New Roman" w:hAnsi="Times New Roman"/>
          <w:sz w:val="24"/>
          <w:szCs w:val="20"/>
        </w:rPr>
      </w:pPr>
      <w:r>
        <w:rPr>
          <w:rFonts w:ascii="Times New Roman" w:hAnsi="Times New Roman"/>
          <w:sz w:val="24"/>
        </w:rPr>
        <w:t>Ao diminuir</w:t>
      </w:r>
      <w:r>
        <w:rPr>
          <w:rFonts w:ascii="Times New Roman" w:hAnsi="Times New Roman"/>
          <w:sz w:val="24"/>
          <w:szCs w:val="20"/>
        </w:rPr>
        <w:t xml:space="preserve"> a temperatura de cristalização, o valor do raio crítico e a da energia livre para a formação de núcleos estáveis também diminuem. </w:t>
      </w:r>
    </w:p>
    <w:p>
      <w:pPr>
        <w:pStyle w:val="ListParagraph"/>
        <w:numPr>
          <w:ilvl w:val="0"/>
          <w:numId w:val="9"/>
        </w:numPr>
        <w:spacing w:lineRule="auto" w:line="360" w:before="0" w:after="0"/>
        <w:ind w:left="0" w:right="-1" w:firstLine="1134"/>
        <w:contextualSpacing/>
        <w:jc w:val="both"/>
        <w:rPr>
          <w:rFonts w:ascii="Times New Roman" w:hAnsi="Times New Roman"/>
          <w:sz w:val="24"/>
          <w:szCs w:val="20"/>
        </w:rPr>
      </w:pPr>
      <w:r>
        <w:rPr>
          <w:rFonts w:ascii="Times New Roman" w:hAnsi="Times New Roman"/>
          <w:sz w:val="24"/>
          <w:szCs w:val="20"/>
        </w:rPr>
        <w:t>A redução da energia necessária para formação de núcleos estáveis favorece a nucleação.</w:t>
      </w:r>
    </w:p>
    <w:p>
      <w:pPr>
        <w:pStyle w:val="ListParagraph"/>
        <w:numPr>
          <w:ilvl w:val="0"/>
          <w:numId w:val="9"/>
        </w:numPr>
        <w:spacing w:lineRule="auto" w:line="360" w:before="0" w:after="0"/>
        <w:ind w:left="0" w:right="-1" w:firstLine="1134"/>
        <w:contextualSpacing/>
        <w:jc w:val="both"/>
        <w:rPr>
          <w:rFonts w:ascii="Times New Roman" w:hAnsi="Times New Roman"/>
          <w:sz w:val="24"/>
          <w:szCs w:val="20"/>
        </w:rPr>
      </w:pPr>
      <w:r>
        <w:rPr>
          <w:rFonts w:ascii="Times New Roman" w:hAnsi="Times New Roman"/>
          <w:sz w:val="24"/>
          <w:szCs w:val="20"/>
        </w:rPr>
        <w:t>Quanto maior o número de núcleos estáveis menor vai ser o tamanho dos grãos formados devido a limitação do espaço para o crescimento, formando os contornos de grãos.</w:t>
      </w:r>
    </w:p>
    <w:p>
      <w:pPr>
        <w:pStyle w:val="Normal"/>
        <w:spacing w:lineRule="auto" w:line="360" w:before="0" w:after="0"/>
        <w:ind w:right="-1" w:firstLine="1134"/>
        <w:jc w:val="both"/>
        <w:rPr>
          <w:rFonts w:ascii="Times New Roman" w:hAnsi="Times New Roman" w:cs="Times New Roman"/>
          <w:sz w:val="24"/>
          <w:szCs w:val="20"/>
        </w:rPr>
      </w:pPr>
      <w:r>
        <w:rPr>
          <w:rFonts w:cs="Times New Roman" w:ascii="Times New Roman" w:hAnsi="Times New Roman"/>
          <w:sz w:val="24"/>
          <w:szCs w:val="20"/>
        </w:rPr>
      </w:r>
    </w:p>
    <w:p>
      <w:pPr>
        <w:pStyle w:val="Normal"/>
        <w:spacing w:lineRule="auto" w:line="360" w:before="0" w:after="0"/>
        <w:jc w:val="both"/>
        <w:rPr>
          <w:rFonts w:ascii="Times New Roman" w:hAnsi="Times New Roman" w:cs="Times New Roman"/>
          <w:i/>
          <w:i/>
          <w:sz w:val="24"/>
          <w:szCs w:val="24"/>
        </w:rPr>
      </w:pPr>
      <w:r>
        <w:rPr>
          <w:rFonts w:cs="Times New Roman" w:ascii="Times New Roman" w:hAnsi="Times New Roman"/>
          <w:i/>
          <w:sz w:val="24"/>
          <w:szCs w:val="24"/>
        </w:rPr>
        <w:t>3.5.2.2 Nucleação heterogênea</w:t>
      </w:r>
    </w:p>
    <w:p>
      <w:pPr>
        <w:pStyle w:val="Normal"/>
        <w:spacing w:lineRule="auto" w:line="360" w:before="0" w:after="0"/>
        <w:jc w:val="both"/>
        <w:rPr>
          <w:rFonts w:ascii="Times New Roman" w:hAnsi="Times New Roman" w:cs="Times New Roman"/>
          <w:i/>
          <w:i/>
          <w:sz w:val="24"/>
          <w:szCs w:val="24"/>
        </w:rPr>
      </w:pPr>
      <w:r>
        <w:rPr>
          <w:rFonts w:cs="Times New Roman" w:ascii="Times New Roman" w:hAnsi="Times New Roman"/>
          <w:i/>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A nucleação heterogênea é a que ocorre no líquido quando há sítios preferenciais como contornos de grão, discordâncias, inclusões, bolhas, sobre as paredes do recipiente, impurezas insolúveis ou outro material presente na estrutura, estas superfícies já existentes diminuem a energia superficial </w:t>
      </w:r>
      <w:r>
        <w:rPr>
          <w:rFonts w:cs="Times New Roman" w:ascii="Times New Roman" w:hAnsi="Times New Roman"/>
          <w:b/>
          <w:sz w:val="24"/>
          <w:szCs w:val="24"/>
        </w:rPr>
        <w:t>γ</w:t>
      </w:r>
      <w:r>
        <w:rPr>
          <w:rFonts w:cs="Times New Roman" w:ascii="Times New Roman" w:hAnsi="Times New Roman"/>
          <w:sz w:val="24"/>
          <w:szCs w:val="24"/>
        </w:rPr>
        <w:t>, da equação 5 diminuindo a barreira termodinâmica necessária para formar um núcleo estável (</w:t>
      </w:r>
      <w:r>
        <w:rPr>
          <w:rFonts w:cs="Times New Roman" w:ascii="Times New Roman" w:hAnsi="Times New Roman"/>
          <w:sz w:val="24"/>
        </w:rPr>
        <w:t>Zeng et al</w:t>
      </w:r>
      <w:r>
        <w:rPr>
          <w:rFonts w:cs="Times New Roman" w:ascii="Times New Roman" w:hAnsi="Times New Roman"/>
          <w:sz w:val="24"/>
          <w:szCs w:val="24"/>
        </w:rPr>
        <w:t>., 2009).</w:t>
      </w:r>
      <w:bookmarkStart w:id="112" w:name="_Hlk157093660"/>
      <w:bookmarkEnd w:id="112"/>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Na nucleação heterogênea, o agente nucleante é molhado pelo substrato (líquido). Esse substrato deverá solidificar facilmente sobre o agente nucleante. A figura 23 compara a nucleação heterogênea com a nucleação homogênea.</w:t>
      </w:r>
    </w:p>
    <w:p>
      <w:pPr>
        <w:pStyle w:val="Normal"/>
        <w:spacing w:lineRule="auto" w:line="360" w:before="0" w:after="0"/>
        <w:ind w:left="993" w:right="991"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567" w:hanging="0"/>
        <w:jc w:val="both"/>
        <w:rPr>
          <w:rFonts w:ascii="Times New Roman" w:hAnsi="Times New Roman" w:cs="Times New Roman"/>
          <w:sz w:val="24"/>
          <w:szCs w:val="24"/>
        </w:rPr>
      </w:pPr>
      <w:r>
        <w:rPr>
          <w:rFonts w:cs="Times New Roman" w:ascii="Times New Roman" w:hAnsi="Times New Roman"/>
          <w:sz w:val="24"/>
          <w:szCs w:val="24"/>
        </w:rPr>
        <w:t>Figura 23 – Nucleação heterogênea a partir de um substrato.</w:t>
      </w:r>
      <w:bookmarkStart w:id="113" w:name="_Hlk156893688"/>
      <w:bookmarkEnd w:id="113"/>
    </w:p>
    <w:p>
      <w:pPr>
        <w:pStyle w:val="Normal"/>
        <w:spacing w:lineRule="auto" w:line="360" w:before="0" w:after="0"/>
        <w:jc w:val="center"/>
        <w:rPr>
          <w:rFonts w:ascii="Times New Roman" w:hAnsi="Times New Roman" w:cs="Times New Roman"/>
          <w:sz w:val="24"/>
          <w:szCs w:val="24"/>
        </w:rPr>
      </w:pPr>
      <w:r>
        <w:rPr/>
        <w:drawing>
          <wp:inline distT="0" distB="0" distL="0" distR="0">
            <wp:extent cx="4848225" cy="2422525"/>
            <wp:effectExtent l="0" t="0" r="0" b="0"/>
            <wp:docPr id="31"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10" descr=""/>
                    <pic:cNvPicPr>
                      <a:picLocks noChangeAspect="1" noChangeArrowheads="1"/>
                    </pic:cNvPicPr>
                  </pic:nvPicPr>
                  <pic:blipFill>
                    <a:blip r:embed="rId28"/>
                    <a:srcRect l="24982" t="17791" r="25524" b="36860"/>
                    <a:stretch>
                      <a:fillRect/>
                    </a:stretch>
                  </pic:blipFill>
                  <pic:spPr bwMode="auto">
                    <a:xfrm>
                      <a:off x="0" y="0"/>
                      <a:ext cx="4848225" cy="2422525"/>
                    </a:xfrm>
                    <a:prstGeom prst="rect">
                      <a:avLst/>
                    </a:prstGeom>
                  </pic:spPr>
                </pic:pic>
              </a:graphicData>
            </a:graphic>
          </wp:inline>
        </w:drawing>
      </w:r>
      <w:bookmarkStart w:id="114" w:name="_Hlk151541332"/>
      <w:bookmarkEnd w:id="114"/>
    </w:p>
    <w:p>
      <w:pPr>
        <w:pStyle w:val="Normal"/>
        <w:spacing w:lineRule="auto" w:line="240"/>
        <w:ind w:left="567" w:hanging="0"/>
        <w:rPr>
          <w:rFonts w:ascii="Times New Roman" w:hAnsi="Times New Roman" w:cs="Times New Roman"/>
          <w:sz w:val="20"/>
          <w:szCs w:val="20"/>
        </w:rPr>
      </w:pPr>
      <w:r>
        <w:rPr>
          <w:rFonts w:cs="Times New Roman" w:ascii="Times New Roman" w:hAnsi="Times New Roman"/>
          <w:sz w:val="20"/>
          <w:szCs w:val="20"/>
        </w:rPr>
        <w:t xml:space="preserve">Fonte: </w:t>
      </w:r>
      <w:bookmarkStart w:id="115" w:name="_Hlk156987773"/>
      <w:r>
        <w:rPr>
          <w:rStyle w:val="LinkdaInternet"/>
          <w:rFonts w:cs="Times New Roman" w:ascii="Times New Roman" w:hAnsi="Times New Roman"/>
          <w:color w:val="auto"/>
          <w:sz w:val="20"/>
          <w:szCs w:val="20"/>
          <w:u w:val="none"/>
        </w:rPr>
        <w:t>centro de informação metal mecânica (2023).</w:t>
      </w:r>
      <w:bookmarkEnd w:id="115"/>
    </w:p>
    <w:p>
      <w:pPr>
        <w:pStyle w:val="Normal"/>
        <w:spacing w:lineRule="auto" w:line="360" w:before="0" w:after="0"/>
        <w:ind w:right="991"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A figura 24 compara o raio crítico </w:t>
      </w:r>
      <w:r>
        <w:rPr>
          <w:rFonts w:cs="Times New Roman" w:ascii="Times New Roman" w:hAnsi="Times New Roman"/>
          <w:b/>
          <w:i/>
          <w:sz w:val="24"/>
          <w:szCs w:val="24"/>
        </w:rPr>
        <w:t>r*</w:t>
      </w:r>
      <w:r>
        <w:rPr>
          <w:rFonts w:cs="Times New Roman" w:ascii="Times New Roman" w:hAnsi="Times New Roman"/>
          <w:sz w:val="24"/>
          <w:szCs w:val="24"/>
        </w:rPr>
        <w:t xml:space="preserve">, da nucleação homogênea com o da nucleação heterogênea.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1134" w:hanging="0"/>
        <w:jc w:val="both"/>
        <w:rPr>
          <w:rFonts w:ascii="Times New Roman" w:hAnsi="Times New Roman" w:cs="Times New Roman"/>
          <w:sz w:val="24"/>
          <w:szCs w:val="24"/>
        </w:rPr>
      </w:pPr>
      <w:r>
        <w:rPr>
          <w:rFonts w:cs="Times New Roman" w:ascii="Times New Roman" w:hAnsi="Times New Roman"/>
          <w:sz w:val="24"/>
          <w:szCs w:val="24"/>
        </w:rPr>
        <w:t>Figura 24 - Raio crítico de núcleos homogêneo e heterogêneo.</w:t>
      </w:r>
      <w:bookmarkStart w:id="116" w:name="_Hlk156893707"/>
      <w:bookmarkEnd w:id="116"/>
    </w:p>
    <w:p>
      <w:pPr>
        <w:pStyle w:val="Normal"/>
        <w:spacing w:lineRule="auto" w:line="360" w:before="0" w:after="0"/>
        <w:jc w:val="center"/>
        <w:rPr>
          <w:rFonts w:ascii="Times New Roman" w:hAnsi="Times New Roman" w:cs="Times New Roman"/>
          <w:sz w:val="24"/>
          <w:szCs w:val="24"/>
        </w:rPr>
      </w:pPr>
      <w:r>
        <w:rPr/>
        <w:drawing>
          <wp:inline distT="0" distB="0" distL="0" distR="1270">
            <wp:extent cx="4209415" cy="2006600"/>
            <wp:effectExtent l="0" t="0" r="0" b="0"/>
            <wp:docPr id="32" name="Imagem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26" descr=""/>
                    <pic:cNvPicPr>
                      <a:picLocks noChangeAspect="1" noChangeArrowheads="1"/>
                    </pic:cNvPicPr>
                  </pic:nvPicPr>
                  <pic:blipFill>
                    <a:blip r:embed="rId29"/>
                    <a:srcRect l="35797" t="43829" r="21459" b="18353"/>
                    <a:stretch>
                      <a:fillRect/>
                    </a:stretch>
                  </pic:blipFill>
                  <pic:spPr bwMode="auto">
                    <a:xfrm>
                      <a:off x="0" y="0"/>
                      <a:ext cx="4209415" cy="2006600"/>
                    </a:xfrm>
                    <a:prstGeom prst="rect">
                      <a:avLst/>
                    </a:prstGeom>
                  </pic:spPr>
                </pic:pic>
              </a:graphicData>
            </a:graphic>
          </wp:inline>
        </w:drawing>
      </w:r>
    </w:p>
    <w:p>
      <w:pPr>
        <w:pStyle w:val="Normal"/>
        <w:spacing w:lineRule="auto" w:line="360" w:before="0" w:after="0"/>
        <w:ind w:left="1134" w:hanging="0"/>
        <w:jc w:val="both"/>
        <w:rPr>
          <w:rStyle w:val="LinkdaInternet"/>
          <w:rFonts w:ascii="Times New Roman" w:hAnsi="Times New Roman" w:cs="Times New Roman"/>
          <w:color w:val="auto"/>
          <w:sz w:val="20"/>
          <w:szCs w:val="24"/>
        </w:rPr>
      </w:pPr>
      <w:r>
        <w:rPr>
          <w:rFonts w:cs="Times New Roman" w:ascii="Times New Roman" w:hAnsi="Times New Roman"/>
          <w:sz w:val="20"/>
          <w:szCs w:val="24"/>
        </w:rPr>
        <w:t>Fonte: elaborado pelo autor.</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Percebemos que o raio crítico </w:t>
      </w:r>
      <w:r>
        <w:rPr>
          <w:rFonts w:cs="Times New Roman" w:ascii="Times New Roman" w:hAnsi="Times New Roman"/>
          <w:b/>
          <w:i/>
          <w:sz w:val="24"/>
          <w:szCs w:val="24"/>
        </w:rPr>
        <w:t>r*</w:t>
      </w:r>
      <w:r>
        <w:rPr>
          <w:rFonts w:cs="Times New Roman" w:ascii="Times New Roman" w:hAnsi="Times New Roman"/>
          <w:sz w:val="24"/>
          <w:szCs w:val="24"/>
        </w:rPr>
        <w:t>, continua o mesmo em ambas as nucleações, enquanto o número de átomos do núcleo heterogêneo é bem menor que número de átomos do núcleo homogêneo (Rios e Padilha, 2007).</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molhabilidade (</w:t>
      </w:r>
      <w:r>
        <w:rPr>
          <w:rFonts w:cs="Times New Roman" w:ascii="Times New Roman" w:hAnsi="Times New Roman"/>
          <w:color w:val="040C28"/>
          <w:sz w:val="24"/>
          <w:szCs w:val="24"/>
        </w:rPr>
        <w:t>habilidade de um líquido em manter contato com uma superfície sólida)</w:t>
      </w:r>
      <w:r>
        <w:rPr>
          <w:rFonts w:cs="Times New Roman" w:ascii="Times New Roman" w:hAnsi="Times New Roman"/>
          <w:sz w:val="24"/>
          <w:szCs w:val="24"/>
        </w:rPr>
        <w:t xml:space="preserve"> do substrato, conforme ilustrado na figura 25, pode ser alta, parcial ou baixa, dependendo da tensão superficial entre núcleo e substrato.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567" w:hanging="0"/>
        <w:jc w:val="both"/>
        <w:rPr>
          <w:rFonts w:ascii="Times New Roman" w:hAnsi="Times New Roman" w:cs="Times New Roman"/>
          <w:sz w:val="24"/>
          <w:szCs w:val="24"/>
        </w:rPr>
      </w:pPr>
      <w:r>
        <w:rPr>
          <w:rFonts w:cs="Times New Roman" w:ascii="Times New Roman" w:hAnsi="Times New Roman"/>
          <w:sz w:val="24"/>
          <w:szCs w:val="24"/>
        </w:rPr>
        <w:t>Figura 25 - Molhabilidade do substrato.</w:t>
      </w:r>
      <w:bookmarkStart w:id="117" w:name="_Hlk156893749"/>
      <w:bookmarkEnd w:id="117"/>
    </w:p>
    <w:p>
      <w:pPr>
        <w:pStyle w:val="Normal"/>
        <w:spacing w:lineRule="auto" w:line="360" w:before="0" w:after="0"/>
        <w:jc w:val="center"/>
        <w:rPr>
          <w:rFonts w:ascii="Times New Roman" w:hAnsi="Times New Roman" w:cs="Times New Roman"/>
          <w:sz w:val="24"/>
          <w:szCs w:val="24"/>
        </w:rPr>
      </w:pPr>
      <w:r>
        <w:rPr/>
        <w:drawing>
          <wp:inline distT="0" distB="1905" distL="0" distR="635">
            <wp:extent cx="5047615" cy="1884045"/>
            <wp:effectExtent l="0" t="0" r="0" b="0"/>
            <wp:docPr id="33" name="Imagem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56" descr=""/>
                    <pic:cNvPicPr>
                      <a:picLocks noChangeAspect="1" noChangeArrowheads="1"/>
                    </pic:cNvPicPr>
                  </pic:nvPicPr>
                  <pic:blipFill>
                    <a:blip r:embed="rId30"/>
                    <a:srcRect l="11277" t="41516" r="40039" b="22334"/>
                    <a:stretch>
                      <a:fillRect/>
                    </a:stretch>
                  </pic:blipFill>
                  <pic:spPr bwMode="auto">
                    <a:xfrm>
                      <a:off x="0" y="0"/>
                      <a:ext cx="5047615" cy="1884045"/>
                    </a:xfrm>
                    <a:prstGeom prst="rect">
                      <a:avLst/>
                    </a:prstGeom>
                  </pic:spPr>
                </pic:pic>
              </a:graphicData>
            </a:graphic>
          </wp:inline>
        </w:drawing>
      </w:r>
    </w:p>
    <w:p>
      <w:pPr>
        <w:pStyle w:val="Normal"/>
        <w:tabs>
          <w:tab w:val="left" w:pos="7088" w:leader="none"/>
        </w:tabs>
        <w:spacing w:lineRule="auto" w:line="360" w:before="0" w:after="0"/>
        <w:ind w:left="567" w:hanging="0"/>
        <w:jc w:val="both"/>
        <w:rPr>
          <w:rFonts w:ascii="Times New Roman" w:hAnsi="Times New Roman" w:cs="Times New Roman"/>
          <w:sz w:val="20"/>
          <w:szCs w:val="20"/>
        </w:rPr>
      </w:pPr>
      <w:r>
        <w:rPr>
          <w:rStyle w:val="LinkdaInternet"/>
          <w:rFonts w:cs="Times New Roman" w:ascii="Times New Roman" w:hAnsi="Times New Roman"/>
          <w:color w:val="auto"/>
          <w:sz w:val="20"/>
          <w:szCs w:val="20"/>
          <w:u w:val="none"/>
        </w:rPr>
        <w:t xml:space="preserve">Fonte: </w:t>
      </w:r>
      <w:bookmarkStart w:id="118" w:name="_Hlk156987830"/>
      <w:r>
        <w:rPr>
          <w:rStyle w:val="LinkdaInternet"/>
          <w:rFonts w:cs="Times New Roman" w:ascii="Times New Roman" w:hAnsi="Times New Roman"/>
          <w:color w:val="auto"/>
          <w:sz w:val="20"/>
          <w:szCs w:val="20"/>
          <w:u w:val="none"/>
        </w:rPr>
        <w:t>70° Congresso anual da ABM Week (2015</w:t>
      </w:r>
      <w:bookmarkEnd w:id="118"/>
      <w:r>
        <w:rPr>
          <w:rStyle w:val="LinkdaInternet"/>
          <w:rFonts w:cs="Times New Roman" w:ascii="Times New Roman" w:hAnsi="Times New Roman"/>
          <w:color w:val="auto"/>
          <w:sz w:val="20"/>
          <w:szCs w:val="20"/>
          <w:u w:val="none"/>
        </w:rPr>
        <w:t>).</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bCs/>
          <w:color w:val="000000"/>
          <w:sz w:val="24"/>
          <w:szCs w:val="24"/>
        </w:rPr>
      </w:pPr>
      <w:r>
        <w:rPr>
          <w:rFonts w:cs="Times New Roman" w:ascii="Times New Roman" w:hAnsi="Times New Roman"/>
          <w:sz w:val="24"/>
          <w:szCs w:val="24"/>
        </w:rPr>
        <w:t xml:space="preserve">Esta molhabilidade pode ser avaliada pelo ângulo de molhamento - </w:t>
      </w:r>
      <w:r>
        <w:rPr>
          <w:rFonts w:cs="Times New Roman" w:ascii="Times New Roman" w:hAnsi="Times New Roman"/>
          <w:b/>
          <w:i/>
          <w:sz w:val="24"/>
          <w:szCs w:val="24"/>
        </w:rPr>
        <w:t>θ</w:t>
      </w:r>
      <w:r>
        <w:rPr>
          <w:rFonts w:cs="Times New Roman" w:ascii="Times New Roman" w:hAnsi="Times New Roman"/>
          <w:sz w:val="24"/>
          <w:szCs w:val="24"/>
        </w:rPr>
        <w:t xml:space="preserve"> conforme podemos observar na figura 26, que </w:t>
      </w:r>
      <w:r>
        <w:rPr>
          <w:rFonts w:cs="Times New Roman" w:ascii="Times New Roman" w:hAnsi="Times New Roman"/>
          <w:bCs/>
          <w:color w:val="000000"/>
          <w:sz w:val="24"/>
          <w:szCs w:val="24"/>
        </w:rPr>
        <w:t>ilustra a nucleação de uma partícula sólida sobre uma superfície plana a partir de uma fase líquida.</w:t>
      </w:r>
    </w:p>
    <w:p>
      <w:pPr>
        <w:pStyle w:val="Normal"/>
        <w:spacing w:lineRule="auto" w:line="360" w:before="0" w:after="0"/>
        <w:ind w:firstLine="1134"/>
        <w:rPr>
          <w:rFonts w:ascii="Times New Roman" w:hAnsi="Times New Roman" w:cs="Times New Roman"/>
          <w:bCs/>
          <w:color w:val="000000"/>
          <w:sz w:val="24"/>
          <w:szCs w:val="24"/>
        </w:rPr>
      </w:pPr>
      <w:r>
        <w:rPr>
          <w:rFonts w:cs="Times New Roman" w:ascii="Times New Roman" w:hAnsi="Times New Roman"/>
          <w:bCs/>
          <w:color w:val="000000"/>
          <w:sz w:val="24"/>
          <w:szCs w:val="24"/>
        </w:rPr>
        <w:t>A relação de equilíbrio das forças de tensão superficial é:</w:t>
      </w:r>
    </w:p>
    <w:p>
      <w:pPr>
        <w:pStyle w:val="Normal"/>
        <w:spacing w:lineRule="auto" w:line="360" w:before="0" w:after="0"/>
        <w:ind w:firstLine="1134"/>
        <w:rPr>
          <w:rFonts w:ascii="Symbol" w:hAnsi="Symbol" w:cs="Symbol"/>
          <w:b/>
          <w:b/>
          <w:sz w:val="24"/>
          <w:szCs w:val="24"/>
        </w:rPr>
      </w:pPr>
      <w:r>
        <w:rPr>
          <w:rFonts w:cs="Symbol" w:ascii="Symbol" w:hAnsi="Symbol"/>
          <w:b/>
          <w:sz w:val="24"/>
          <w:szCs w:val="24"/>
        </w:rPr>
      </w:r>
    </w:p>
    <w:p>
      <w:pPr>
        <w:pStyle w:val="Normal"/>
        <w:spacing w:lineRule="auto" w:line="360" w:before="0" w:after="0"/>
        <w:ind w:firstLine="1134"/>
        <w:rPr>
          <w:rFonts w:ascii="Symbol" w:hAnsi="Symbol" w:cs="Symbol"/>
          <w:sz w:val="24"/>
          <w:szCs w:val="24"/>
        </w:rPr>
      </w:pPr>
      <w:r>
        <w:rPr>
          <w:rFonts w:cs="Symbol" w:ascii="Symbol" w:hAnsi="Symbol"/>
          <w:b/>
          <w:sz w:val="24"/>
          <w:szCs w:val="24"/>
        </w:rPr>
        <w:t></w:t>
      </w:r>
      <w:r>
        <w:rPr>
          <w:rFonts w:cs="Times New Roman" w:ascii="Times New Roman" w:hAnsi="Times New Roman"/>
          <w:b/>
          <w:bCs/>
          <w:sz w:val="24"/>
          <w:szCs w:val="24"/>
        </w:rPr>
        <w:t xml:space="preserve">IL = </w:t>
      </w:r>
      <w:r>
        <w:rPr>
          <w:rFonts w:cs="Symbol" w:ascii="Symbol" w:hAnsi="Symbol"/>
          <w:b/>
          <w:sz w:val="24"/>
          <w:szCs w:val="24"/>
        </w:rPr>
        <w:t></w:t>
      </w:r>
      <w:r>
        <w:rPr>
          <w:rFonts w:cs="Times New Roman" w:ascii="Times New Roman" w:hAnsi="Times New Roman"/>
          <w:b/>
          <w:bCs/>
          <w:sz w:val="24"/>
          <w:szCs w:val="24"/>
        </w:rPr>
        <w:t xml:space="preserve">SI + </w:t>
      </w:r>
      <w:r>
        <w:rPr>
          <w:rFonts w:cs="Symbol" w:ascii="Symbol" w:hAnsi="Symbol"/>
          <w:b/>
          <w:sz w:val="24"/>
          <w:szCs w:val="24"/>
        </w:rPr>
        <w:t></w:t>
      </w:r>
      <w:r>
        <w:rPr>
          <w:rFonts w:cs="Times New Roman" w:ascii="Times New Roman" w:hAnsi="Times New Roman"/>
          <w:b/>
          <w:bCs/>
          <w:sz w:val="24"/>
          <w:szCs w:val="24"/>
        </w:rPr>
        <w:t>SL cos</w:t>
      </w:r>
      <w:r>
        <w:rPr>
          <w:rFonts w:cs="Symbol" w:ascii="Symbol" w:hAnsi="Symbol"/>
          <w:b/>
          <w:i/>
          <w:sz w:val="24"/>
          <w:szCs w:val="24"/>
        </w:rPr>
        <w:t></w:t>
      </w:r>
      <w:r>
        <w:rPr>
          <w:rFonts w:cs="Symbol" w:ascii="Symbol" w:hAnsi="Symbol"/>
          <w:b/>
          <w:sz w:val="24"/>
          <w:szCs w:val="24"/>
        </w:rPr>
        <w:t></w:t>
      </w:r>
      <w:r>
        <w:rPr>
          <w:rFonts w:cs="Symbol" w:ascii="Symbol" w:hAnsi="Symbol"/>
          <w:sz w:val="24"/>
          <w:szCs w:val="24"/>
        </w:rPr>
        <w:t></w:t>
      </w:r>
    </w:p>
    <w:p>
      <w:pPr>
        <w:pStyle w:val="Normal"/>
        <w:spacing w:lineRule="auto" w:line="360" w:before="0" w:after="0"/>
        <w:ind w:firstLine="1134"/>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rPr>
          <w:rFonts w:ascii="Times New Roman" w:hAnsi="Times New Roman" w:cs="Times New Roman"/>
          <w:sz w:val="24"/>
          <w:szCs w:val="24"/>
        </w:rPr>
      </w:pPr>
      <w:r>
        <w:rPr>
          <w:rFonts w:cs="Times New Roman" w:ascii="Times New Roman" w:hAnsi="Times New Roman"/>
          <w:sz w:val="24"/>
          <w:szCs w:val="24"/>
        </w:rPr>
        <w:t xml:space="preserve">Onde: </w:t>
      </w:r>
    </w:p>
    <w:p>
      <w:pPr>
        <w:pStyle w:val="Normal"/>
        <w:spacing w:lineRule="auto" w:line="360" w:before="0" w:after="0"/>
        <w:ind w:firstLine="1134"/>
        <w:rPr>
          <w:rFonts w:ascii="Times New Roman" w:hAnsi="Times New Roman" w:cs="Times New Roman"/>
          <w:bCs/>
          <w:sz w:val="24"/>
          <w:szCs w:val="24"/>
        </w:rPr>
      </w:pPr>
      <w:r>
        <w:rPr>
          <w:rFonts w:cs="Symbol" w:ascii="Symbol" w:hAnsi="Symbol"/>
          <w:color w:val="00B150"/>
          <w:sz w:val="24"/>
          <w:szCs w:val="24"/>
        </w:rPr>
        <w:t></w:t>
      </w:r>
      <w:r>
        <w:rPr>
          <w:rFonts w:cs="Times New Roman" w:ascii="Times New Roman" w:hAnsi="Times New Roman"/>
          <w:bCs/>
          <w:color w:val="00B150"/>
          <w:sz w:val="24"/>
          <w:szCs w:val="24"/>
        </w:rPr>
        <w:t>IL</w:t>
      </w:r>
      <w:r>
        <w:rPr>
          <w:rFonts w:cs="Times New Roman" w:ascii="Times New Roman" w:hAnsi="Times New Roman"/>
          <w:bCs/>
          <w:sz w:val="24"/>
          <w:szCs w:val="24"/>
        </w:rPr>
        <w:t xml:space="preserve"> - energia interfacial interface-líquido,</w:t>
      </w:r>
    </w:p>
    <w:p>
      <w:pPr>
        <w:pStyle w:val="Normal"/>
        <w:spacing w:lineRule="auto" w:line="360" w:before="0" w:after="0"/>
        <w:ind w:firstLine="1134"/>
        <w:rPr>
          <w:rFonts w:ascii="Times New Roman" w:hAnsi="Times New Roman" w:cs="Times New Roman"/>
          <w:bCs/>
          <w:sz w:val="24"/>
          <w:szCs w:val="24"/>
        </w:rPr>
      </w:pPr>
      <w:r>
        <w:rPr>
          <w:rFonts w:cs="Symbol" w:ascii="Symbol" w:hAnsi="Symbol"/>
          <w:color w:val="0033CD"/>
          <w:sz w:val="24"/>
          <w:szCs w:val="24"/>
        </w:rPr>
        <w:t></w:t>
      </w:r>
      <w:r>
        <w:rPr>
          <w:rFonts w:cs="Times New Roman" w:ascii="Times New Roman" w:hAnsi="Times New Roman"/>
          <w:bCs/>
          <w:color w:val="0033CD"/>
          <w:sz w:val="24"/>
          <w:szCs w:val="24"/>
        </w:rPr>
        <w:t xml:space="preserve">SI </w:t>
      </w:r>
      <w:r>
        <w:rPr>
          <w:rFonts w:cs="Times New Roman" w:ascii="Times New Roman" w:hAnsi="Times New Roman"/>
          <w:bCs/>
          <w:sz w:val="24"/>
          <w:szCs w:val="24"/>
        </w:rPr>
        <w:t xml:space="preserve">- energia interfacial sólido-interface, </w:t>
      </w:r>
    </w:p>
    <w:p>
      <w:pPr>
        <w:pStyle w:val="Normal"/>
        <w:spacing w:lineRule="auto" w:line="360" w:before="0" w:after="0"/>
        <w:ind w:firstLine="1134"/>
        <w:rPr>
          <w:rFonts w:ascii="Times New Roman" w:hAnsi="Times New Roman" w:cs="Times New Roman"/>
          <w:bCs/>
          <w:sz w:val="24"/>
          <w:szCs w:val="24"/>
        </w:rPr>
      </w:pPr>
      <w:r>
        <w:rPr>
          <w:rFonts w:cs="Symbol" w:ascii="Symbol" w:hAnsi="Symbol"/>
          <w:color w:val="C10000"/>
          <w:sz w:val="24"/>
          <w:szCs w:val="24"/>
        </w:rPr>
        <w:t></w:t>
      </w:r>
      <w:r>
        <w:rPr>
          <w:rFonts w:cs="Times New Roman" w:ascii="Times New Roman" w:hAnsi="Times New Roman"/>
          <w:bCs/>
          <w:color w:val="C10000"/>
          <w:sz w:val="24"/>
          <w:szCs w:val="24"/>
        </w:rPr>
        <w:t xml:space="preserve">SL </w:t>
      </w:r>
      <w:r>
        <w:rPr>
          <w:rFonts w:cs="Times New Roman" w:ascii="Times New Roman" w:hAnsi="Times New Roman"/>
          <w:bCs/>
          <w:sz w:val="24"/>
          <w:szCs w:val="24"/>
        </w:rPr>
        <w:t>- energia interfacial sólido-líquido,</w:t>
      </w:r>
    </w:p>
    <w:p>
      <w:pPr>
        <w:pStyle w:val="Normal"/>
        <w:spacing w:lineRule="auto" w:line="360" w:before="0" w:after="0"/>
        <w:ind w:firstLine="1134"/>
        <w:rPr>
          <w:rFonts w:ascii="Arial" w:hAnsi="Arial" w:cs="Arial"/>
          <w:bCs/>
          <w:color w:val="000000"/>
          <w:sz w:val="24"/>
          <w:szCs w:val="24"/>
        </w:rPr>
      </w:pPr>
      <w:r>
        <w:rPr>
          <w:rFonts w:cs="Symbol" w:ascii="Symbol" w:hAnsi="Symbol"/>
          <w:b/>
          <w:i/>
          <w:color w:val="000000"/>
          <w:sz w:val="24"/>
          <w:szCs w:val="24"/>
        </w:rPr>
        <w:t></w:t>
      </w:r>
      <w:r>
        <w:rPr>
          <w:rFonts w:cs="Times New Roman" w:ascii="Times New Roman" w:hAnsi="Times New Roman"/>
          <w:bCs/>
          <w:color w:val="000000"/>
          <w:sz w:val="24"/>
          <w:szCs w:val="24"/>
        </w:rPr>
        <w:t xml:space="preserve"> </w:t>
      </w:r>
      <w:r>
        <w:rPr>
          <w:rFonts w:cs="Times New Roman" w:ascii="Times New Roman" w:hAnsi="Times New Roman"/>
          <w:bCs/>
          <w:color w:val="000000"/>
          <w:sz w:val="24"/>
          <w:szCs w:val="24"/>
        </w:rPr>
        <w:t>o ângulo entre as energias</w:t>
      </w:r>
      <w:r>
        <w:rPr>
          <w:rFonts w:cs="Arial" w:ascii="Arial" w:hAnsi="Arial"/>
          <w:bCs/>
          <w:color w:val="000000"/>
          <w:sz w:val="24"/>
          <w:szCs w:val="24"/>
        </w:rPr>
        <w:t xml:space="preserve"> </w:t>
      </w:r>
      <w:r>
        <w:rPr>
          <w:rFonts w:cs="Symbol" w:ascii="Symbol" w:hAnsi="Symbol"/>
          <w:color w:val="C10000"/>
          <w:sz w:val="24"/>
          <w:szCs w:val="24"/>
        </w:rPr>
        <w:t></w:t>
      </w:r>
      <w:r>
        <w:rPr>
          <w:rFonts w:cs="Times New Roman" w:ascii="Times New Roman" w:hAnsi="Times New Roman"/>
          <w:bCs/>
          <w:color w:val="C10000"/>
          <w:sz w:val="24"/>
          <w:szCs w:val="24"/>
        </w:rPr>
        <w:t>SL</w:t>
      </w:r>
      <w:r>
        <w:rPr>
          <w:rFonts w:cs="Arial" w:ascii="Arial" w:hAnsi="Arial"/>
          <w:bCs/>
          <w:color w:val="000000"/>
          <w:sz w:val="24"/>
          <w:szCs w:val="24"/>
        </w:rPr>
        <w:t xml:space="preserve"> </w:t>
      </w:r>
      <w:r>
        <w:rPr>
          <w:rFonts w:cs="Times New Roman" w:ascii="Times New Roman" w:hAnsi="Times New Roman"/>
          <w:bCs/>
          <w:color w:val="000000"/>
          <w:sz w:val="24"/>
          <w:szCs w:val="24"/>
        </w:rPr>
        <w:t xml:space="preserve">e </w:t>
      </w:r>
      <w:r>
        <w:rPr>
          <w:rFonts w:cs="Symbol" w:ascii="Symbol" w:hAnsi="Symbol"/>
          <w:color w:val="0033CD"/>
          <w:sz w:val="24"/>
          <w:szCs w:val="24"/>
        </w:rPr>
        <w:t></w:t>
      </w:r>
      <w:r>
        <w:rPr>
          <w:rFonts w:cs="Times New Roman" w:ascii="Times New Roman" w:hAnsi="Times New Roman"/>
          <w:bCs/>
          <w:color w:val="0033CD"/>
          <w:sz w:val="24"/>
          <w:szCs w:val="24"/>
        </w:rPr>
        <w:t>SI</w:t>
      </w:r>
      <w:r>
        <w:rPr>
          <w:rFonts w:cs="Arial" w:ascii="Arial" w:hAnsi="Arial"/>
          <w:bCs/>
          <w:color w:val="000000"/>
          <w:sz w:val="24"/>
          <w:szCs w:val="24"/>
        </w:rPr>
        <w:t>.</w:t>
      </w:r>
      <w:bookmarkStart w:id="119" w:name="_Hlk156901944"/>
      <w:bookmarkEnd w:id="119"/>
    </w:p>
    <w:p>
      <w:pPr>
        <w:pStyle w:val="Normal"/>
        <w:spacing w:lineRule="auto" w:line="360" w:before="0" w:after="0"/>
        <w:ind w:firstLine="1134"/>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Normal"/>
        <w:spacing w:lineRule="auto" w:line="360" w:before="0" w:after="0"/>
        <w:ind w:left="709" w:hanging="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Figura 26 - Forças de tensão superficial em uma nucleação heterogênea.</w:t>
      </w:r>
      <w:bookmarkStart w:id="120" w:name="_Hlk156893766"/>
      <w:bookmarkEnd w:id="120"/>
    </w:p>
    <w:p>
      <w:pPr>
        <w:pStyle w:val="Normal"/>
        <w:spacing w:lineRule="auto" w:line="360" w:before="0" w:after="0"/>
        <w:ind w:right="-1" w:hanging="0"/>
        <w:jc w:val="center"/>
        <w:rPr>
          <w:rFonts w:ascii="Times New Roman" w:hAnsi="Times New Roman" w:cs="Times New Roman"/>
          <w:bCs/>
          <w:color w:val="000000"/>
          <w:sz w:val="24"/>
          <w:szCs w:val="24"/>
        </w:rPr>
      </w:pPr>
      <w:r>
        <w:rPr/>
        <w:drawing>
          <wp:inline distT="0" distB="0" distL="0" distR="0">
            <wp:extent cx="4686935" cy="2122170"/>
            <wp:effectExtent l="0" t="0" r="0" b="0"/>
            <wp:docPr id="34" name="Imagem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54" descr=""/>
                    <pic:cNvPicPr>
                      <a:picLocks noChangeAspect="1" noChangeArrowheads="1"/>
                    </pic:cNvPicPr>
                  </pic:nvPicPr>
                  <pic:blipFill>
                    <a:blip r:embed="rId31"/>
                    <a:stretch>
                      <a:fillRect/>
                    </a:stretch>
                  </pic:blipFill>
                  <pic:spPr bwMode="auto">
                    <a:xfrm>
                      <a:off x="0" y="0"/>
                      <a:ext cx="4686935" cy="2122170"/>
                    </a:xfrm>
                    <a:prstGeom prst="rect">
                      <a:avLst/>
                    </a:prstGeom>
                  </pic:spPr>
                </pic:pic>
              </a:graphicData>
            </a:graphic>
          </wp:inline>
        </w:drawing>
      </w:r>
    </w:p>
    <w:p>
      <w:pPr>
        <w:pStyle w:val="Normal"/>
        <w:tabs>
          <w:tab w:val="left" w:pos="7230" w:leader="none"/>
        </w:tabs>
        <w:spacing w:lineRule="auto" w:line="360" w:before="0" w:after="0"/>
        <w:ind w:left="709" w:right="142" w:hanging="0"/>
        <w:jc w:val="both"/>
        <w:rPr>
          <w:rFonts w:ascii="Times New Roman" w:hAnsi="Times New Roman" w:cs="Times New Roman"/>
          <w:sz w:val="20"/>
          <w:szCs w:val="20"/>
        </w:rPr>
      </w:pPr>
      <w:r>
        <w:rPr>
          <w:rFonts w:cs="Times New Roman" w:ascii="Times New Roman" w:hAnsi="Times New Roman"/>
          <w:sz w:val="20"/>
          <w:szCs w:val="20"/>
        </w:rPr>
        <w:t>Fonte: Material didático do curso de eng. mecânica da UFPR (2023).</w:t>
      </w:r>
    </w:p>
    <w:p>
      <w:pPr>
        <w:pStyle w:val="Normal"/>
        <w:tabs>
          <w:tab w:val="left" w:pos="7230" w:leader="none"/>
        </w:tabs>
        <w:spacing w:lineRule="auto" w:line="360" w:before="0" w:after="0"/>
        <w:ind w:right="142" w:hanging="0"/>
        <w:jc w:val="center"/>
        <w:rPr>
          <w:rFonts w:ascii="Times New Roman" w:hAnsi="Times New Roman" w:cs="Times New Roman"/>
          <w:sz w:val="20"/>
          <w:szCs w:val="24"/>
        </w:rPr>
      </w:pPr>
      <w:r>
        <w:rPr>
          <w:rFonts w:cs="Times New Roman" w:ascii="Times New Roman" w:hAnsi="Times New Roman"/>
          <w:sz w:val="20"/>
          <w:szCs w:val="24"/>
        </w:rPr>
      </w:r>
    </w:p>
    <w:p>
      <w:pPr>
        <w:pStyle w:val="Normal"/>
        <w:spacing w:lineRule="auto" w:line="360" w:before="0" w:after="0"/>
        <w:ind w:firstLine="1134"/>
        <w:jc w:val="both"/>
        <w:rPr>
          <w:rFonts w:ascii="Times New Roman" w:hAnsi="Times New Roman" w:cs="Times New Roman"/>
          <w:bCs/>
          <w:color w:val="000000"/>
          <w:sz w:val="24"/>
          <w:szCs w:val="24"/>
        </w:rPr>
      </w:pPr>
      <w:r>
        <w:rPr>
          <w:rFonts w:cs="Times New Roman" w:ascii="Times New Roman" w:hAnsi="Times New Roman"/>
          <w:sz w:val="24"/>
          <w:szCs w:val="24"/>
        </w:rPr>
        <w:t xml:space="preserve">A superfície ou interface já existente, diminuem a energia de superficial </w:t>
      </w:r>
      <w:r>
        <w:rPr>
          <w:rFonts w:cs="Times New Roman" w:ascii="Times New Roman" w:hAnsi="Times New Roman"/>
          <w:b/>
          <w:i/>
          <w:sz w:val="24"/>
          <w:szCs w:val="24"/>
        </w:rPr>
        <w:t>γ</w:t>
      </w:r>
      <w:r>
        <w:rPr>
          <w:rFonts w:cs="Times New Roman" w:ascii="Times New Roman" w:hAnsi="Times New Roman"/>
          <w:sz w:val="24"/>
          <w:szCs w:val="24"/>
        </w:rPr>
        <w:t xml:space="preserve">, portanto há uma diminuição da barreira termodinâmica necessária para formar um núcleo estável.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Podemos confirmar, pela equação 11, que a energia livre necessária para a nucleação heterogênea é menor que para a nucleação homogênea, por uma quantidade correspondente a </w:t>
      </w:r>
      <w:r>
        <w:rPr>
          <w:rFonts w:cs="Times New Roman" w:ascii="Times New Roman" w:hAnsi="Times New Roman"/>
          <w:b/>
          <w:i/>
          <w:sz w:val="24"/>
          <w:szCs w:val="24"/>
        </w:rPr>
        <w:t>S(θ)</w:t>
      </w:r>
      <w:r>
        <w:rPr>
          <w:rFonts w:cs="Times New Roman" w:ascii="Times New Roman" w:hAnsi="Times New Roman"/>
          <w:sz w:val="24"/>
          <w:szCs w:val="24"/>
        </w:rPr>
        <w:t xml:space="preserve">. Onde </w:t>
      </w:r>
      <w:r>
        <w:rPr>
          <w:rFonts w:cs="Times New Roman" w:ascii="Times New Roman" w:hAnsi="Times New Roman"/>
          <w:b/>
          <w:i/>
          <w:sz w:val="24"/>
          <w:szCs w:val="24"/>
        </w:rPr>
        <w:t>S(θ),</w:t>
      </w:r>
      <w:r>
        <w:rPr>
          <w:rFonts w:cs="Times New Roman" w:ascii="Times New Roman" w:hAnsi="Times New Roman"/>
          <w:sz w:val="24"/>
          <w:szCs w:val="24"/>
        </w:rPr>
        <w:t xml:space="preserve"> dependente apenas da molhabilidade do núcleo, variando entre 0(0°) e 1(180°).</w:t>
      </w:r>
    </w:p>
    <w:p>
      <w:pPr>
        <w:pStyle w:val="Normal"/>
        <w:spacing w:lineRule="auto" w:line="360" w:before="240" w:after="140"/>
        <w:ind w:firstLine="1134"/>
        <w:jc w:val="both"/>
        <w:rPr>
          <w:rFonts w:ascii="Times New Roman" w:hAnsi="Times New Roman" w:eastAsia="" w:cs="Times New Roman" w:eastAsiaTheme="minorEastAsia"/>
          <w:sz w:val="24"/>
          <w:szCs w:val="24"/>
        </w:rPr>
      </w:pPr>
      <w:r>
        <w:rPr/>
      </w:r>
      <m:oMath xmlns:m="http://schemas.openxmlformats.org/officeDocument/2006/math">
        <m:sSubSup>
          <m:e>
            <m:r>
              <w:rPr>
                <w:rFonts w:ascii="Cambria Math" w:hAnsi="Cambria Math"/>
              </w:rPr>
              <m:t xml:space="preserve">∆</m:t>
            </m:r>
            <m:r>
              <w:rPr>
                <w:rFonts w:ascii="Cambria Math" w:hAnsi="Cambria Math"/>
              </w:rPr>
              <m:t xml:space="preserve">G</m:t>
            </m:r>
          </m:e>
          <m:sub>
            <m:r>
              <w:rPr>
                <w:rFonts w:ascii="Cambria Math" w:hAnsi="Cambria Math"/>
              </w:rPr>
              <m:t xml:space="preserve">het</m:t>
            </m:r>
          </m:sub>
          <m:sup/>
        </m:sSubSup>
        <m:r>
          <w:rPr>
            <w:rFonts w:ascii="Cambria Math" w:hAnsi="Cambria Math"/>
          </w:rPr>
          <m:t xml:space="preserve">=</m:t>
        </m:r>
        <m:d>
          <m:dPr>
            <m:begChr m:val="("/>
            <m:endChr m:val=")"/>
          </m:dPr>
          <m:e>
            <m:f>
              <m:num>
                <m:r>
                  <w:rPr>
                    <w:rFonts w:ascii="Cambria Math" w:hAnsi="Cambria Math"/>
                  </w:rPr>
                  <m:t xml:space="preserve">16</m:t>
                </m:r>
                <m:r>
                  <w:rPr>
                    <w:rFonts w:ascii="Cambria Math" w:hAnsi="Cambria Math"/>
                  </w:rPr>
                  <m:t xml:space="preserve">π</m:t>
                </m:r>
                <m:sSubSup>
                  <m:e>
                    <m:r>
                      <w:rPr>
                        <w:rFonts w:ascii="Cambria Math" w:hAnsi="Cambria Math"/>
                      </w:rPr>
                      <m:t xml:space="preserve">γ</m:t>
                    </m:r>
                  </m:e>
                  <m:sub>
                    <m:r>
                      <w:rPr>
                        <w:rFonts w:ascii="Cambria Math" w:hAnsi="Cambria Math"/>
                      </w:rPr>
                      <m:t xml:space="preserve">SL</m:t>
                    </m:r>
                  </m:sub>
                  <m:sup>
                    <m:r>
                      <w:rPr>
                        <w:rFonts w:ascii="Cambria Math" w:hAnsi="Cambria Math"/>
                      </w:rPr>
                      <m:t xml:space="preserve">3</m:t>
                    </m:r>
                  </m:sup>
                </m:sSubSup>
              </m:num>
              <m:den>
                <m:r>
                  <w:rPr>
                    <w:rFonts w:ascii="Cambria Math" w:hAnsi="Cambria Math"/>
                  </w:rPr>
                  <m:t xml:space="preserve">3</m:t>
                </m:r>
                <m:r>
                  <w:rPr>
                    <w:rFonts w:ascii="Cambria Math" w:hAnsi="Cambria Math"/>
                  </w:rPr>
                  <m:t xml:space="preserve">∆</m:t>
                </m:r>
                <m:sSubSup>
                  <m:e>
                    <m:r>
                      <w:rPr>
                        <w:rFonts w:ascii="Cambria Math" w:hAnsi="Cambria Math"/>
                      </w:rPr>
                      <m:t xml:space="preserve">G</m:t>
                    </m:r>
                  </m:e>
                  <m:sub>
                    <m:r>
                      <w:rPr>
                        <w:rFonts w:ascii="Cambria Math" w:hAnsi="Cambria Math"/>
                      </w:rPr>
                      <m:t xml:space="preserve">v</m:t>
                    </m:r>
                  </m:sub>
                  <m:sup>
                    <m:r>
                      <w:rPr>
                        <w:rFonts w:ascii="Cambria Math" w:hAnsi="Cambria Math"/>
                      </w:rPr>
                      <m:t xml:space="preserve">2</m:t>
                    </m:r>
                  </m:sup>
                </m:sSubSup>
              </m:den>
            </m:f>
          </m:e>
        </m:d>
        <m:r>
          <w:rPr>
            <w:rFonts w:ascii="Cambria Math" w:hAnsi="Cambria Math"/>
          </w:rPr>
          <m:t xml:space="preserve">S</m:t>
        </m:r>
        <m:d>
          <m:dPr>
            <m:begChr m:val="("/>
            <m:endChr m:val=")"/>
          </m:dPr>
          <m:e>
            <m:r>
              <w:rPr>
                <w:rFonts w:ascii="Cambria Math" w:hAnsi="Cambria Math"/>
              </w:rPr>
              <m:t xml:space="preserve">θ</m:t>
            </m:r>
          </m:e>
        </m:d>
      </m:oMath>
      <w:r>
        <w:rPr>
          <w:rFonts w:eastAsia="" w:cs="Times New Roman" w:ascii="Times New Roman" w:hAnsi="Times New Roman" w:eastAsiaTheme="minorEastAsia"/>
          <w:b/>
          <w:sz w:val="24"/>
          <w:szCs w:val="24"/>
        </w:rPr>
        <w:t xml:space="preserve">                                                                                                       </w:t>
      </w:r>
      <w:r>
        <w:rPr>
          <w:rFonts w:eastAsia="" w:cs="Times New Roman" w:ascii="Times New Roman" w:hAnsi="Times New Roman" w:eastAsiaTheme="minorEastAsia"/>
          <w:sz w:val="24"/>
          <w:szCs w:val="24"/>
        </w:rPr>
        <w:t>(11)</w:t>
      </w:r>
    </w:p>
    <w:p>
      <w:pPr>
        <w:pStyle w:val="Normal"/>
        <w:spacing w:lineRule="auto" w:line="360" w:before="0" w:after="0"/>
        <w:ind w:firstLine="1134"/>
        <w:jc w:val="both"/>
        <w:rPr>
          <w:rFonts w:ascii="Times New Roman" w:hAnsi="Times New Roman" w:cs="Times New Roman"/>
          <w:b/>
          <w:b/>
          <w:i/>
          <w:i/>
          <w:sz w:val="24"/>
          <w:szCs w:val="24"/>
        </w:rPr>
      </w:pPr>
      <w:r>
        <w:rPr>
          <w:rFonts w:cs="Times New Roman" w:ascii="Times New Roman" w:hAnsi="Times New Roman"/>
          <w:sz w:val="24"/>
          <w:szCs w:val="24"/>
        </w:rPr>
        <w:t xml:space="preserve">A figura 27 compara a energia livre necessária para a nucleação de um mesmo material em função do raio crítico nas nucleações homogênea e heterogênea. </w:t>
      </w:r>
    </w:p>
    <w:p>
      <w:pPr>
        <w:pStyle w:val="Normal"/>
        <w:spacing w:lineRule="auto" w:line="360" w:before="0" w:after="0"/>
        <w:ind w:left="851"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851" w:hanging="0"/>
        <w:jc w:val="both"/>
        <w:rPr>
          <w:rFonts w:ascii="Times New Roman" w:hAnsi="Times New Roman" w:cs="Times New Roman"/>
          <w:sz w:val="24"/>
          <w:szCs w:val="24"/>
        </w:rPr>
      </w:pPr>
      <w:r>
        <w:rPr>
          <w:rFonts w:cs="Times New Roman" w:ascii="Times New Roman" w:hAnsi="Times New Roman"/>
          <w:sz w:val="24"/>
          <w:szCs w:val="24"/>
        </w:rPr>
        <w:t xml:space="preserve">Figura 27 - </w:t>
      </w:r>
      <w:r>
        <w:rPr>
          <w:rFonts w:cs="Times New Roman" w:ascii="Times New Roman" w:hAnsi="Times New Roman"/>
          <w:b/>
          <w:i/>
          <w:sz w:val="24"/>
          <w:szCs w:val="24"/>
        </w:rPr>
        <w:t>ΔG*</w:t>
      </w:r>
      <w:r>
        <w:rPr>
          <w:rFonts w:cs="Times New Roman" w:ascii="Times New Roman" w:hAnsi="Times New Roman"/>
          <w:b/>
          <w:sz w:val="24"/>
          <w:szCs w:val="24"/>
        </w:rPr>
        <w:t xml:space="preserve"> </w:t>
      </w:r>
      <w:r>
        <w:rPr>
          <w:rFonts w:cs="Times New Roman" w:ascii="Times New Roman" w:hAnsi="Times New Roman"/>
          <w:sz w:val="24"/>
          <w:szCs w:val="24"/>
        </w:rPr>
        <w:t>versus</w:t>
      </w:r>
      <w:r>
        <w:rPr>
          <w:rFonts w:cs="Times New Roman" w:ascii="Times New Roman" w:hAnsi="Times New Roman"/>
          <w:b/>
          <w:sz w:val="24"/>
          <w:szCs w:val="24"/>
        </w:rPr>
        <w:t xml:space="preserve"> r*</w:t>
      </w:r>
      <w:r>
        <w:rPr>
          <w:rFonts w:cs="Times New Roman" w:ascii="Times New Roman" w:hAnsi="Times New Roman"/>
          <w:sz w:val="24"/>
          <w:szCs w:val="24"/>
        </w:rPr>
        <w:t xml:space="preserve"> em nucleações homogênea e heterogênea.</w:t>
      </w:r>
      <w:bookmarkStart w:id="121" w:name="_Hlk156893785"/>
      <w:bookmarkEnd w:id="121"/>
    </w:p>
    <w:p>
      <w:pPr>
        <w:pStyle w:val="Normal"/>
        <w:spacing w:lineRule="auto" w:line="360" w:before="0" w:after="0"/>
        <w:jc w:val="center"/>
        <w:rPr>
          <w:rFonts w:ascii="Times New Roman" w:hAnsi="Times New Roman" w:cs="Times New Roman"/>
          <w:sz w:val="24"/>
          <w:szCs w:val="24"/>
        </w:rPr>
      </w:pPr>
      <w:r>
        <w:rPr/>
        <w:drawing>
          <wp:inline distT="0" distB="0" distL="0" distR="0">
            <wp:extent cx="4464685" cy="2268855"/>
            <wp:effectExtent l="0" t="0" r="0" b="0"/>
            <wp:docPr id="35" name="Imagem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57" descr=""/>
                    <pic:cNvPicPr>
                      <a:picLocks noChangeAspect="1" noChangeArrowheads="1"/>
                    </pic:cNvPicPr>
                  </pic:nvPicPr>
                  <pic:blipFill>
                    <a:blip r:embed="rId32"/>
                    <a:srcRect l="47756" t="54469" r="23676" b="12745"/>
                    <a:stretch>
                      <a:fillRect/>
                    </a:stretch>
                  </pic:blipFill>
                  <pic:spPr bwMode="auto">
                    <a:xfrm>
                      <a:off x="0" y="0"/>
                      <a:ext cx="4464685" cy="2268855"/>
                    </a:xfrm>
                    <a:prstGeom prst="rect">
                      <a:avLst/>
                    </a:prstGeom>
                  </pic:spPr>
                </pic:pic>
              </a:graphicData>
            </a:graphic>
          </wp:inline>
        </w:drawing>
      </w:r>
    </w:p>
    <w:p>
      <w:pPr>
        <w:pStyle w:val="Normal"/>
        <w:tabs>
          <w:tab w:val="left" w:pos="7230" w:leader="none"/>
        </w:tabs>
        <w:spacing w:lineRule="auto" w:line="360" w:before="0" w:after="0"/>
        <w:ind w:left="851" w:right="142" w:hanging="0"/>
        <w:jc w:val="both"/>
        <w:rPr>
          <w:rFonts w:ascii="Times New Roman" w:hAnsi="Times New Roman" w:cs="Times New Roman"/>
          <w:sz w:val="20"/>
          <w:szCs w:val="20"/>
        </w:rPr>
      </w:pPr>
      <w:r>
        <w:rPr>
          <w:rFonts w:cs="Times New Roman" w:ascii="Times New Roman" w:hAnsi="Times New Roman"/>
          <w:sz w:val="20"/>
          <w:szCs w:val="20"/>
        </w:rPr>
        <w:t>Fonte: Material didático do curso de eng. mecânica da UFPR (2023).</w:t>
      </w:r>
    </w:p>
    <w:p>
      <w:pPr>
        <w:pStyle w:val="Normal"/>
        <w:tabs>
          <w:tab w:val="left" w:pos="7230" w:leader="none"/>
        </w:tabs>
        <w:spacing w:lineRule="auto" w:line="360" w:before="0" w:after="0"/>
        <w:ind w:right="142" w:hanging="0"/>
        <w:jc w:val="center"/>
        <w:rPr>
          <w:rFonts w:ascii="Times New Roman" w:hAnsi="Times New Roman" w:cs="Times New Roman"/>
          <w:sz w:val="20"/>
          <w:szCs w:val="24"/>
        </w:rPr>
      </w:pPr>
      <w:r>
        <w:rPr>
          <w:rFonts w:cs="Times New Roman" w:ascii="Times New Roman" w:hAnsi="Times New Roman"/>
          <w:sz w:val="20"/>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Apesar do raio critico </w:t>
      </w:r>
      <w:r>
        <w:rPr>
          <w:rFonts w:cs="Times New Roman" w:ascii="Times New Roman" w:hAnsi="Times New Roman"/>
          <w:b/>
          <w:i/>
          <w:sz w:val="24"/>
          <w:szCs w:val="24"/>
        </w:rPr>
        <w:t>r*</w:t>
      </w:r>
      <w:r>
        <w:rPr>
          <w:rFonts w:cs="Times New Roman" w:ascii="Times New Roman" w:hAnsi="Times New Roman"/>
          <w:i/>
          <w:sz w:val="24"/>
          <w:szCs w:val="24"/>
        </w:rPr>
        <w:t>,</w:t>
      </w:r>
      <w:r>
        <w:rPr>
          <w:rFonts w:cs="Times New Roman" w:ascii="Times New Roman" w:hAnsi="Times New Roman"/>
          <w:b/>
          <w:i/>
          <w:sz w:val="24"/>
          <w:szCs w:val="24"/>
        </w:rPr>
        <w:t xml:space="preserve"> </w:t>
      </w:r>
      <w:r>
        <w:rPr>
          <w:rFonts w:cs="Times New Roman" w:ascii="Times New Roman" w:hAnsi="Times New Roman"/>
          <w:sz w:val="24"/>
          <w:szCs w:val="24"/>
        </w:rPr>
        <w:t xml:space="preserve">em ambas nucleações serem iguais, a energia livre para a nucleação heterogênea </w:t>
      </w:r>
      <w:r>
        <w:rPr>
          <w:rFonts w:cs="Times New Roman" w:ascii="Times New Roman" w:hAnsi="Times New Roman"/>
          <w:b/>
          <w:i/>
          <w:sz w:val="24"/>
          <w:szCs w:val="24"/>
        </w:rPr>
        <w:t>ΔG*</w:t>
      </w:r>
      <w:r>
        <w:rPr>
          <w:rFonts w:cs="Times New Roman" w:ascii="Times New Roman" w:hAnsi="Times New Roman"/>
          <w:b/>
          <w:i/>
          <w:sz w:val="24"/>
          <w:szCs w:val="24"/>
          <w:vertAlign w:val="subscript"/>
        </w:rPr>
        <w:t>het</w:t>
      </w:r>
      <w:r>
        <w:rPr>
          <w:rFonts w:cs="Times New Roman" w:ascii="Times New Roman" w:hAnsi="Times New Roman"/>
          <w:b/>
          <w:sz w:val="24"/>
          <w:szCs w:val="24"/>
        </w:rPr>
        <w:t xml:space="preserve"> </w:t>
      </w:r>
      <w:r>
        <w:rPr>
          <w:rFonts w:cs="Times New Roman" w:ascii="Times New Roman" w:hAnsi="Times New Roman"/>
          <w:sz w:val="24"/>
          <w:szCs w:val="24"/>
        </w:rPr>
        <w:t xml:space="preserve">é bem menor que para a nucleação homogênea </w:t>
      </w:r>
      <w:r>
        <w:rPr>
          <w:rFonts w:cs="Times New Roman" w:ascii="Times New Roman" w:hAnsi="Times New Roman"/>
          <w:b/>
          <w:i/>
          <w:sz w:val="24"/>
          <w:szCs w:val="24"/>
        </w:rPr>
        <w:t>ΔG*</w:t>
      </w:r>
      <w:r>
        <w:rPr>
          <w:rFonts w:cs="Times New Roman" w:ascii="Times New Roman" w:hAnsi="Times New Roman"/>
          <w:b/>
          <w:i/>
          <w:sz w:val="24"/>
          <w:szCs w:val="24"/>
          <w:vertAlign w:val="subscript"/>
        </w:rPr>
        <w:t>hom</w:t>
      </w:r>
      <w:r>
        <w:rPr>
          <w:rFonts w:cs="Times New Roman" w:ascii="Times New Roman" w:hAnsi="Times New Roman"/>
          <w:sz w:val="24"/>
          <w:szCs w:val="24"/>
        </w:rPr>
        <w:t xml:space="preserve"> devido ao menor número de átomos necessários para a formação de núcleos estáveis.</w:t>
      </w:r>
      <w:bookmarkStart w:id="122" w:name="_Hlk156902083"/>
      <w:bookmarkEnd w:id="122"/>
    </w:p>
    <w:p>
      <w:pPr>
        <w:pStyle w:val="Normal"/>
        <w:spacing w:lineRule="auto" w:line="360" w:before="0" w:after="0"/>
        <w:jc w:val="both"/>
        <w:rPr>
          <w:rFonts w:ascii="Times New Roman" w:hAnsi="Times New Roman" w:cs="Times New Roman"/>
          <w:b/>
          <w:b/>
          <w:i/>
          <w:i/>
          <w:sz w:val="24"/>
          <w:szCs w:val="24"/>
        </w:rPr>
      </w:pPr>
      <w:r>
        <w:rPr>
          <w:rFonts w:cs="Times New Roman" w:ascii="Times New Roman" w:hAnsi="Times New Roman"/>
          <w:b/>
          <w:i/>
          <w:sz w:val="24"/>
          <w:szCs w:val="24"/>
        </w:rPr>
      </w:r>
    </w:p>
    <w:p>
      <w:pPr>
        <w:pStyle w:val="Normal"/>
        <w:spacing w:lineRule="auto" w:line="360" w:before="0" w:after="0"/>
        <w:jc w:val="both"/>
        <w:rPr>
          <w:rFonts w:ascii="Times New Roman" w:hAnsi="Times New Roman" w:cs="Times New Roman"/>
          <w:i/>
          <w:i/>
          <w:sz w:val="24"/>
          <w:szCs w:val="24"/>
        </w:rPr>
      </w:pPr>
      <w:r>
        <w:rPr>
          <w:rFonts w:cs="Times New Roman" w:ascii="Times New Roman" w:hAnsi="Times New Roman"/>
          <w:i/>
          <w:sz w:val="24"/>
          <w:szCs w:val="24"/>
        </w:rPr>
        <w:t xml:space="preserve">3.5.2.3 Taxa de nucleação </w:t>
      </w:r>
      <w:bookmarkStart w:id="123" w:name="_Hlk156918645"/>
      <w:bookmarkEnd w:id="123"/>
    </w:p>
    <w:p>
      <w:pPr>
        <w:pStyle w:val="Normal"/>
        <w:spacing w:lineRule="auto" w:line="360" w:before="0" w:after="0"/>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shd w:fill="FFFFFF" w:val="clear"/>
        </w:rPr>
        <w:t>A taxa de nucleação pode ser definida como </w:t>
      </w:r>
      <w:r>
        <w:rPr>
          <w:rFonts w:cs="Times New Roman" w:ascii="Times New Roman" w:hAnsi="Times New Roman"/>
          <w:sz w:val="24"/>
        </w:rPr>
        <w:t>o número de núcleos formados por unidade de volume durante o tempo do processo.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Conforme Shelby (2005), o processo geral, para o caso de nucleação homogênea, é descrito pela expressão:</w:t>
      </w:r>
    </w:p>
    <w:p>
      <w:pPr>
        <w:pStyle w:val="Normal"/>
        <w:spacing w:lineRule="auto" w:line="360" w:before="240" w:after="140"/>
        <w:ind w:firstLine="1134"/>
        <w:jc w:val="both"/>
        <w:rPr>
          <w:rFonts w:ascii="Times New Roman" w:hAnsi="Times New Roman" w:cs="Times New Roman"/>
          <w:sz w:val="24"/>
          <w:szCs w:val="24"/>
        </w:rPr>
      </w:pPr>
      <w:r>
        <w:rPr/>
      </w:r>
      <m:oMath xmlns:m="http://schemas.openxmlformats.org/officeDocument/2006/math">
        <m:r>
          <w:rPr>
            <w:rFonts w:ascii="Cambria Math" w:hAnsi="Cambria Math"/>
          </w:rPr>
          <m:t xml:space="preserve">N</m:t>
        </m:r>
        <m:r>
          <w:rPr>
            <w:rFonts w:ascii="Cambria Math" w:hAnsi="Cambria Math"/>
          </w:rPr>
          <m:t xml:space="preserve">=</m:t>
        </m:r>
        <m:r>
          <w:rPr>
            <w:rFonts w:ascii="Cambria Math" w:hAnsi="Cambria Math"/>
          </w:rPr>
          <m:t xml:space="preserve">A</m:t>
        </m:r>
        <m:sSup>
          <m:e>
            <m:r>
              <w:rPr>
                <w:rFonts w:ascii="Cambria Math" w:hAnsi="Cambria Math"/>
              </w:rPr>
              <m:t xml:space="preserve">e</m:t>
            </m:r>
          </m:e>
          <m:sup>
            <m:d>
              <m:dPr>
                <m:begChr m:val="("/>
                <m:endChr m:val=")"/>
              </m:dPr>
              <m:e>
                <m:f>
                  <m:num>
                    <m:sSubSup>
                      <m:e>
                        <m:r>
                          <w:rPr>
                            <w:rFonts w:ascii="Cambria Math" w:hAnsi="Cambria Math"/>
                          </w:rPr>
                          <m:t xml:space="preserve">−</m:t>
                        </m:r>
                        <m:r>
                          <w:rPr>
                            <w:rFonts w:ascii="Cambria Math" w:hAnsi="Cambria Math"/>
                          </w:rPr>
                          <m:t xml:space="preserve">∆</m:t>
                        </m:r>
                        <m:r>
                          <w:rPr>
                            <w:rFonts w:ascii="Cambria Math" w:hAnsi="Cambria Math"/>
                          </w:rPr>
                          <m:t xml:space="preserve">G</m:t>
                        </m:r>
                      </m:e>
                      <m:sub>
                        <m:r>
                          <w:rPr>
                            <w:rFonts w:ascii="Cambria Math" w:hAnsi="Cambria Math"/>
                          </w:rPr>
                          <m:t xml:space="preserve">hom</m:t>
                        </m:r>
                      </m:sub>
                      <m:sup/>
                    </m:sSubSup>
                    <m:r>
                      <w:rPr>
                        <w:rFonts w:ascii="Cambria Math" w:hAnsi="Cambria Math"/>
                      </w:rPr>
                      <m:t xml:space="preserve">−</m:t>
                    </m:r>
                    <m:r>
                      <w:rPr>
                        <w:rFonts w:ascii="Cambria Math" w:hAnsi="Cambria Math"/>
                      </w:rPr>
                      <m:t xml:space="preserve">Ea</m:t>
                    </m:r>
                  </m:num>
                  <m:den>
                    <m:sSub>
                      <m:e>
                        <m:r>
                          <w:rPr>
                            <w:rFonts w:ascii="Cambria Math" w:hAnsi="Cambria Math"/>
                          </w:rPr>
                          <m:t xml:space="preserve">k</m:t>
                        </m:r>
                      </m:e>
                      <m:sub>
                        <m:r>
                          <w:rPr>
                            <w:rFonts w:ascii="Cambria Math" w:hAnsi="Cambria Math"/>
                          </w:rPr>
                          <m:t xml:space="preserve">b</m:t>
                        </m:r>
                      </m:sub>
                    </m:sSub>
                    <m:r>
                      <w:rPr>
                        <w:rFonts w:ascii="Cambria Math" w:hAnsi="Cambria Math"/>
                      </w:rPr>
                      <m:t xml:space="preserve">T</m:t>
                    </m:r>
                  </m:den>
                </m:f>
              </m:e>
            </m:d>
          </m:sup>
        </m:sSup>
      </m:oMath>
      <w:r>
        <w:rPr>
          <w:rFonts w:eastAsia="" w:cs="Times New Roman" w:ascii="Times New Roman" w:hAnsi="Times New Roman" w:eastAsiaTheme="minorEastAsia"/>
          <w:sz w:val="24"/>
          <w:szCs w:val="24"/>
        </w:rPr>
        <w:t xml:space="preserve">                                                                                                             </w:t>
      </w:r>
      <w:r>
        <w:rPr>
          <w:rFonts w:cs="Times New Roman" w:ascii="Times New Roman" w:hAnsi="Times New Roman"/>
          <w:sz w:val="24"/>
          <w:szCs w:val="24"/>
        </w:rPr>
        <w:t>(12)</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w:t>
      </w:r>
      <w:r>
        <w:rPr>
          <w:rFonts w:cs="Times New Roman" w:ascii="Times New Roman" w:hAnsi="Times New Roman"/>
          <w:b/>
          <w:i/>
          <w:sz w:val="24"/>
          <w:szCs w:val="24"/>
        </w:rPr>
        <w:t>N</w:t>
      </w:r>
      <w:r>
        <w:rPr>
          <w:rFonts w:cs="Times New Roman" w:ascii="Times New Roman" w:hAnsi="Times New Roman"/>
          <w:sz w:val="24"/>
          <w:szCs w:val="24"/>
        </w:rPr>
        <w:t xml:space="preserve"> é a taxa de nucleação homogênea, </w:t>
      </w:r>
      <w:r>
        <w:rPr>
          <w:rFonts w:cs="Times New Roman" w:ascii="Times New Roman" w:hAnsi="Times New Roman"/>
          <w:b/>
          <w:sz w:val="24"/>
          <w:szCs w:val="24"/>
        </w:rPr>
        <w:t>ΔG*</w:t>
      </w:r>
      <w:r>
        <w:rPr>
          <w:rFonts w:cs="Times New Roman" w:ascii="Times New Roman" w:hAnsi="Times New Roman"/>
          <w:sz w:val="24"/>
          <w:szCs w:val="24"/>
        </w:rPr>
        <w:t xml:space="preserve"> e </w:t>
      </w:r>
      <w:r>
        <w:rPr>
          <w:rFonts w:cs="Times New Roman" w:ascii="Times New Roman" w:hAnsi="Times New Roman"/>
          <w:b/>
          <w:i/>
          <w:sz w:val="24"/>
          <w:szCs w:val="24"/>
        </w:rPr>
        <w:t>Ea</w:t>
      </w:r>
      <w:r>
        <w:rPr>
          <w:rFonts w:cs="Times New Roman" w:ascii="Times New Roman" w:hAnsi="Times New Roman"/>
          <w:sz w:val="24"/>
          <w:szCs w:val="24"/>
        </w:rPr>
        <w:t xml:space="preserve"> são os valores das barreiras de energia cinética livre para a nucleação, </w:t>
      </w:r>
      <w:bookmarkStart w:id="124" w:name="_Hlk156902259"/>
      <w:r>
        <w:rPr>
          <w:rFonts w:cs="Times New Roman" w:ascii="Times New Roman" w:hAnsi="Times New Roman"/>
          <w:b/>
          <w:i/>
          <w:sz w:val="24"/>
          <w:szCs w:val="24"/>
        </w:rPr>
        <w:t>k</w:t>
      </w:r>
      <w:r>
        <w:rPr>
          <w:rFonts w:cs="Times New Roman" w:ascii="Times New Roman" w:hAnsi="Times New Roman"/>
          <w:b/>
          <w:i/>
          <w:sz w:val="24"/>
          <w:szCs w:val="24"/>
          <w:vertAlign w:val="subscript"/>
        </w:rPr>
        <w:t>b</w:t>
      </w:r>
      <w:r>
        <w:rPr>
          <w:rFonts w:cs="Times New Roman" w:ascii="Times New Roman" w:hAnsi="Times New Roman"/>
          <w:sz w:val="24"/>
          <w:szCs w:val="24"/>
        </w:rPr>
        <w:t xml:space="preserve"> é a constante de Boltzmann </w:t>
      </w:r>
      <w:bookmarkEnd w:id="124"/>
      <w:r>
        <w:rPr>
          <w:rFonts w:cs="Times New Roman" w:ascii="Times New Roman" w:hAnsi="Times New Roman"/>
          <w:sz w:val="24"/>
          <w:szCs w:val="24"/>
        </w:rPr>
        <w:t>1,373 x 10</w:t>
      </w:r>
      <w:r>
        <w:rPr>
          <w:rFonts w:cs="Times New Roman" w:ascii="Times New Roman" w:hAnsi="Times New Roman"/>
          <w:sz w:val="24"/>
          <w:szCs w:val="24"/>
          <w:vertAlign w:val="superscript"/>
        </w:rPr>
        <w:t>-23</w:t>
      </w:r>
      <w:r>
        <w:rPr>
          <w:rFonts w:cs="Times New Roman" w:ascii="Times New Roman" w:hAnsi="Times New Roman"/>
          <w:sz w:val="24"/>
          <w:szCs w:val="24"/>
        </w:rPr>
        <w:t xml:space="preserve"> J/K (constante física que relaciona temperatura e energia de moléculas.), </w:t>
      </w:r>
      <w:r>
        <w:rPr>
          <w:rFonts w:cs="Times New Roman" w:ascii="Times New Roman" w:hAnsi="Times New Roman"/>
          <w:b/>
          <w:sz w:val="24"/>
          <w:szCs w:val="24"/>
        </w:rPr>
        <w:t>T</w:t>
      </w:r>
      <w:r>
        <w:rPr>
          <w:rFonts w:cs="Times New Roman" w:ascii="Times New Roman" w:hAnsi="Times New Roman"/>
          <w:sz w:val="24"/>
          <w:szCs w:val="24"/>
        </w:rPr>
        <w:t xml:space="preserve"> é a temperatura absoluta (K) e </w:t>
      </w:r>
      <w:r>
        <w:rPr>
          <w:rFonts w:cs="Times New Roman" w:ascii="Times New Roman" w:hAnsi="Times New Roman"/>
          <w:b/>
          <w:sz w:val="24"/>
          <w:szCs w:val="24"/>
        </w:rPr>
        <w:t>A</w:t>
      </w:r>
      <w:r>
        <w:rPr>
          <w:rFonts w:cs="Times New Roman" w:ascii="Times New Roman" w:hAnsi="Times New Roman"/>
          <w:sz w:val="24"/>
          <w:szCs w:val="24"/>
        </w:rPr>
        <w:t xml:space="preserve"> é a Frequência de colisões, bem sucedidas, das moléculas.</w:t>
      </w:r>
      <w:bookmarkStart w:id="125" w:name="_Hlk149553301"/>
      <w:bookmarkEnd w:id="125"/>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Shelby concluiu que uma expressão semelhante à equação 12, pode ser usado para nucleação heterogênea em um substrato plano.</w:t>
      </w:r>
    </w:p>
    <w:p>
      <w:pPr>
        <w:pStyle w:val="Normal"/>
        <w:spacing w:lineRule="auto" w:line="360" w:before="240" w:after="140"/>
        <w:ind w:firstLine="1134"/>
        <w:jc w:val="both"/>
        <w:rPr>
          <w:rFonts w:ascii="Times New Roman" w:hAnsi="Times New Roman" w:cs="Times New Roman"/>
          <w:sz w:val="24"/>
          <w:szCs w:val="24"/>
        </w:rPr>
      </w:pPr>
      <w:r>
        <w:rPr/>
      </w:r>
      <m:oMath xmlns:m="http://schemas.openxmlformats.org/officeDocument/2006/math">
        <m:sSub>
          <m:e>
            <m:r>
              <w:rPr>
                <w:rFonts w:ascii="Cambria Math" w:hAnsi="Cambria Math"/>
              </w:rPr>
              <m:t xml:space="preserve">N</m:t>
            </m:r>
          </m:e>
          <m:sub>
            <m:r>
              <w:rPr>
                <w:rFonts w:ascii="Cambria Math" w:hAnsi="Cambria Math"/>
              </w:rPr>
              <m:t xml:space="preserve">het</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het</m:t>
            </m:r>
          </m:sub>
        </m:sSub>
        <m:sSup>
          <m:e>
            <m:r>
              <w:rPr>
                <w:rFonts w:ascii="Cambria Math" w:hAnsi="Cambria Math"/>
              </w:rPr>
              <m:t xml:space="preserve">e</m:t>
            </m:r>
          </m:e>
          <m:sup>
            <m:d>
              <m:dPr>
                <m:begChr m:val="("/>
                <m:endChr m:val=")"/>
              </m:dPr>
              <m:e>
                <m:f>
                  <m:num>
                    <m:sSubSup>
                      <m:e>
                        <m:r>
                          <w:rPr>
                            <w:rFonts w:ascii="Cambria Math" w:hAnsi="Cambria Math"/>
                          </w:rPr>
                          <m:t xml:space="preserve">−</m:t>
                        </m:r>
                        <m:r>
                          <w:rPr>
                            <w:rFonts w:ascii="Cambria Math" w:hAnsi="Cambria Math"/>
                          </w:rPr>
                          <m:t xml:space="preserve">∆</m:t>
                        </m:r>
                        <m:r>
                          <w:rPr>
                            <w:rFonts w:ascii="Cambria Math" w:hAnsi="Cambria Math"/>
                          </w:rPr>
                          <m:t xml:space="preserve">G</m:t>
                        </m:r>
                      </m:e>
                      <m:sub>
                        <m:r>
                          <w:rPr>
                            <w:rFonts w:ascii="Cambria Math" w:hAnsi="Cambria Math"/>
                          </w:rPr>
                          <m:t xml:space="preserve">het</m:t>
                        </m:r>
                      </m:sub>
                      <m:sup/>
                    </m:sSubSup>
                    <m:r>
                      <w:rPr>
                        <w:rFonts w:ascii="Cambria Math" w:hAnsi="Cambria Math"/>
                      </w:rPr>
                      <m:t xml:space="preserve">−</m:t>
                    </m:r>
                    <m:r>
                      <w:rPr>
                        <w:rFonts w:ascii="Cambria Math" w:hAnsi="Cambria Math"/>
                      </w:rPr>
                      <m:t xml:space="preserve">Ea</m:t>
                    </m:r>
                  </m:num>
                  <m:den>
                    <m:sSub>
                      <m:e>
                        <m:r>
                          <w:rPr>
                            <w:rFonts w:ascii="Cambria Math" w:hAnsi="Cambria Math"/>
                          </w:rPr>
                          <m:t xml:space="preserve">k</m:t>
                        </m:r>
                      </m:e>
                      <m:sub>
                        <m:r>
                          <w:rPr>
                            <w:rFonts w:ascii="Cambria Math" w:hAnsi="Cambria Math"/>
                          </w:rPr>
                          <m:t xml:space="preserve">b</m:t>
                        </m:r>
                      </m:sub>
                    </m:sSub>
                    <m:r>
                      <w:rPr>
                        <w:rFonts w:ascii="Cambria Math" w:hAnsi="Cambria Math"/>
                      </w:rPr>
                      <m:t xml:space="preserve">T</m:t>
                    </m:r>
                  </m:den>
                </m:f>
              </m:e>
            </m:d>
          </m:sup>
        </m:sSup>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 xml:space="preserve">(13)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o subscrito </w:t>
      </w:r>
      <w:r>
        <w:rPr>
          <w:rFonts w:cs="Times New Roman" w:ascii="Times New Roman" w:hAnsi="Times New Roman"/>
          <w:i/>
          <w:sz w:val="24"/>
          <w:szCs w:val="24"/>
        </w:rPr>
        <w:t>"het"</w:t>
      </w:r>
      <w:r>
        <w:rPr>
          <w:rFonts w:cs="Times New Roman" w:ascii="Times New Roman" w:hAnsi="Times New Roman"/>
          <w:sz w:val="24"/>
          <w:szCs w:val="24"/>
        </w:rPr>
        <w:t xml:space="preserve"> refere-se a valores para nucleação heterogênea e </w:t>
      </w:r>
      <w:r>
        <w:rPr>
          <w:rFonts w:cs="Times New Roman" w:ascii="Times New Roman" w:hAnsi="Times New Roman"/>
          <w:b/>
          <w:sz w:val="24"/>
          <w:szCs w:val="24"/>
        </w:rPr>
        <w:t>ΔG</w:t>
      </w:r>
      <w:r>
        <w:rPr>
          <w:rFonts w:cs="Times New Roman" w:ascii="Times New Roman" w:hAnsi="Times New Roman"/>
          <w:b/>
          <w:sz w:val="24"/>
          <w:szCs w:val="24"/>
          <w:vertAlign w:val="subscript"/>
        </w:rPr>
        <w:t>V</w:t>
      </w:r>
      <w:r>
        <w:rPr>
          <w:rFonts w:cs="Times New Roman" w:ascii="Times New Roman" w:hAnsi="Times New Roman"/>
          <w:b/>
          <w:i/>
          <w:sz w:val="24"/>
          <w:szCs w:val="24"/>
          <w:vertAlign w:val="subscript"/>
        </w:rPr>
        <w:t>het</w:t>
      </w:r>
      <w:r>
        <w:rPr>
          <w:rFonts w:cs="Times New Roman" w:ascii="Times New Roman" w:hAnsi="Times New Roman"/>
          <w:sz w:val="24"/>
          <w:szCs w:val="24"/>
        </w:rPr>
        <w:t xml:space="preserve"> é uma função relativa ao ângulo de contato entre o núcleo do cristal e o substrato.</w:t>
      </w:r>
    </w:p>
    <w:p>
      <w:pPr>
        <w:pStyle w:val="Normal"/>
        <w:spacing w:lineRule="auto" w:line="360" w:before="0" w:after="0"/>
        <w:ind w:right="-1" w:firstLine="1134"/>
        <w:jc w:val="both"/>
        <w:rPr>
          <w:rFonts w:ascii="Times New Roman" w:hAnsi="Times New Roman" w:cs="Times New Roman"/>
          <w:sz w:val="24"/>
          <w:szCs w:val="20"/>
        </w:rPr>
      </w:pPr>
      <w:r>
        <w:rPr>
          <w:rFonts w:cs="Times New Roman" w:ascii="Times New Roman" w:hAnsi="Times New Roman"/>
          <w:sz w:val="24"/>
          <w:szCs w:val="20"/>
        </w:rPr>
        <w:t xml:space="preserve">Plotando as curvas das variáveis: número de núcleos estáveis </w:t>
      </w:r>
      <w:r>
        <w:rPr>
          <w:rFonts w:cs="Times New Roman" w:ascii="Times New Roman" w:hAnsi="Times New Roman"/>
          <w:b/>
          <w:i/>
          <w:sz w:val="24"/>
          <w:szCs w:val="20"/>
        </w:rPr>
        <w:t>n*</w:t>
      </w:r>
      <w:r>
        <w:rPr>
          <w:rFonts w:cs="Times New Roman" w:ascii="Times New Roman" w:hAnsi="Times New Roman"/>
          <w:sz w:val="24"/>
          <w:szCs w:val="20"/>
        </w:rPr>
        <w:t xml:space="preserve"> e frequência de agrupamentos </w:t>
      </w:r>
      <w:r>
        <w:rPr>
          <w:rFonts w:cs="Times New Roman" w:ascii="Times New Roman" w:hAnsi="Times New Roman"/>
          <w:b/>
          <w:i/>
          <w:sz w:val="24"/>
          <w:szCs w:val="20"/>
        </w:rPr>
        <w:t>V</w:t>
      </w:r>
      <w:r>
        <w:rPr>
          <w:rFonts w:cs="Times New Roman" w:ascii="Times New Roman" w:hAnsi="Times New Roman"/>
          <w:b/>
          <w:i/>
          <w:sz w:val="24"/>
          <w:szCs w:val="20"/>
          <w:vertAlign w:val="subscript"/>
        </w:rPr>
        <w:t>d</w:t>
      </w:r>
      <w:r>
        <w:rPr>
          <w:rFonts w:cs="Times New Roman" w:ascii="Times New Roman" w:hAnsi="Times New Roman"/>
          <w:sz w:val="24"/>
          <w:szCs w:val="20"/>
        </w:rPr>
        <w:t xml:space="preserve">, em função da temperatura, encontramos o pico da taxa de nucleação </w:t>
      </w:r>
      <w:r>
        <w:rPr>
          <w:rFonts w:cs="Times New Roman" w:ascii="Times New Roman" w:hAnsi="Times New Roman"/>
          <w:b/>
          <w:i/>
          <w:sz w:val="24"/>
          <w:szCs w:val="20"/>
        </w:rPr>
        <w:t>N</w:t>
      </w:r>
      <w:r>
        <w:rPr>
          <w:rFonts w:cs="Times New Roman" w:ascii="Times New Roman" w:hAnsi="Times New Roman"/>
          <w:sz w:val="24"/>
          <w:szCs w:val="20"/>
        </w:rPr>
        <w:t>, como ilustra a figura 28.</w:t>
      </w:r>
    </w:p>
    <w:p>
      <w:pPr>
        <w:pStyle w:val="Normal"/>
        <w:spacing w:lineRule="auto" w:line="360" w:before="0" w:after="0"/>
        <w:ind w:right="-1" w:firstLine="1134"/>
        <w:jc w:val="both"/>
        <w:rPr>
          <w:rFonts w:ascii="Times New Roman" w:hAnsi="Times New Roman" w:cs="Times New Roman"/>
          <w:sz w:val="24"/>
          <w:szCs w:val="20"/>
        </w:rPr>
      </w:pPr>
      <w:r>
        <w:rPr>
          <w:rFonts w:cs="Times New Roman" w:ascii="Times New Roman" w:hAnsi="Times New Roman"/>
          <w:sz w:val="24"/>
          <w:szCs w:val="20"/>
        </w:rPr>
      </w:r>
    </w:p>
    <w:p>
      <w:pPr>
        <w:pStyle w:val="Normal"/>
        <w:spacing w:lineRule="auto" w:line="240" w:before="0" w:after="0"/>
        <w:ind w:left="142" w:hanging="0"/>
        <w:jc w:val="both"/>
        <w:rPr>
          <w:rFonts w:ascii="Times New Roman" w:hAnsi="Times New Roman" w:cs="Times New Roman"/>
          <w:sz w:val="24"/>
          <w:szCs w:val="20"/>
        </w:rPr>
      </w:pPr>
      <w:r>
        <w:rPr>
          <w:rFonts w:cs="Times New Roman" w:ascii="Times New Roman" w:hAnsi="Times New Roman"/>
          <w:sz w:val="24"/>
          <w:szCs w:val="20"/>
        </w:rPr>
        <w:t>Figura 28 - Diagrama de núcleos estáveis, frequência de agrupamento e taxa de nucleação em função da temperatura.</w:t>
      </w:r>
      <w:bookmarkStart w:id="126" w:name="_Hlk151543811"/>
      <w:bookmarkEnd w:id="126"/>
    </w:p>
    <w:p>
      <w:pPr>
        <w:pStyle w:val="Normal"/>
        <w:spacing w:lineRule="auto" w:line="240" w:before="0" w:after="0"/>
        <w:ind w:right="-1" w:hanging="0"/>
        <w:jc w:val="center"/>
        <w:rPr>
          <w:rFonts w:ascii="Times New Roman" w:hAnsi="Times New Roman" w:cs="Times New Roman"/>
          <w:sz w:val="20"/>
          <w:szCs w:val="20"/>
        </w:rPr>
      </w:pPr>
      <w:r>
        <w:rPr/>
        <w:drawing>
          <wp:inline distT="0" distB="8255" distL="0" distR="0">
            <wp:extent cx="5490845" cy="2906395"/>
            <wp:effectExtent l="0" t="0" r="0" b="0"/>
            <wp:docPr id="36" name="Image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15" descr=""/>
                    <pic:cNvPicPr>
                      <a:picLocks noChangeAspect="1" noChangeArrowheads="1"/>
                    </pic:cNvPicPr>
                  </pic:nvPicPr>
                  <pic:blipFill>
                    <a:blip r:embed="rId33"/>
                    <a:srcRect l="5901" t="16953" r="4415" b="3125"/>
                    <a:stretch>
                      <a:fillRect/>
                    </a:stretch>
                  </pic:blipFill>
                  <pic:spPr bwMode="auto">
                    <a:xfrm>
                      <a:off x="0" y="0"/>
                      <a:ext cx="5490845" cy="2906395"/>
                    </a:xfrm>
                    <a:prstGeom prst="rect">
                      <a:avLst/>
                    </a:prstGeom>
                  </pic:spPr>
                </pic:pic>
              </a:graphicData>
            </a:graphic>
          </wp:inline>
        </w:drawing>
      </w:r>
    </w:p>
    <w:p>
      <w:pPr>
        <w:pStyle w:val="Normal"/>
        <w:tabs>
          <w:tab w:val="left" w:pos="7230" w:leader="none"/>
        </w:tabs>
        <w:spacing w:lineRule="auto" w:line="360" w:before="0" w:after="0"/>
        <w:ind w:left="142" w:right="142" w:hanging="0"/>
        <w:jc w:val="both"/>
        <w:rPr>
          <w:rFonts w:ascii="Times New Roman" w:hAnsi="Times New Roman" w:cs="Times New Roman"/>
          <w:sz w:val="20"/>
          <w:szCs w:val="24"/>
        </w:rPr>
      </w:pPr>
      <w:r>
        <w:rPr>
          <w:rFonts w:cs="Times New Roman" w:ascii="Times New Roman" w:hAnsi="Times New Roman"/>
          <w:sz w:val="20"/>
          <w:szCs w:val="20"/>
        </w:rPr>
        <w:t>Fonte: Material didático do curso de eng. mecânica da UFPR (2023).</w:t>
      </w:r>
    </w:p>
    <w:p>
      <w:pPr>
        <w:pStyle w:val="Normal"/>
        <w:spacing w:lineRule="auto" w:line="360" w:before="0" w:after="0"/>
        <w:ind w:right="61"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102" w:after="140"/>
        <w:ind w:right="61" w:firstLine="1134"/>
        <w:jc w:val="both"/>
        <w:rPr>
          <w:rFonts w:ascii="Times New Roman" w:hAnsi="Times New Roman" w:cs="Times New Roman"/>
          <w:sz w:val="24"/>
          <w:szCs w:val="24"/>
        </w:rPr>
      </w:pPr>
      <w:r>
        <w:rPr>
          <w:rFonts w:cs="Times New Roman" w:ascii="Times New Roman" w:hAnsi="Times New Roman"/>
          <w:sz w:val="24"/>
          <w:szCs w:val="24"/>
        </w:rPr>
        <w:t xml:space="preserve">Pelo diagrama acima, em temperaturas abaixo de </w:t>
      </w:r>
      <w:r>
        <w:rPr>
          <w:rFonts w:cs="Times New Roman" w:ascii="Times New Roman" w:hAnsi="Times New Roman"/>
          <w:b/>
          <w:i/>
          <w:sz w:val="24"/>
          <w:szCs w:val="24"/>
        </w:rPr>
        <w:t>T</w:t>
      </w:r>
      <w:r>
        <w:rPr>
          <w:rFonts w:cs="Times New Roman" w:ascii="Times New Roman" w:hAnsi="Times New Roman"/>
          <w:b/>
          <w:i/>
          <w:sz w:val="24"/>
          <w:szCs w:val="24"/>
          <w:vertAlign w:val="subscript"/>
        </w:rPr>
        <w:t>l</w:t>
      </w:r>
      <w:r>
        <w:rPr>
          <w:rFonts w:cs="Times New Roman" w:ascii="Times New Roman" w:hAnsi="Times New Roman"/>
          <w:sz w:val="24"/>
          <w:szCs w:val="24"/>
        </w:rPr>
        <w:t>, podemos concluir que:</w:t>
      </w:r>
    </w:p>
    <w:p>
      <w:pPr>
        <w:pStyle w:val="ListParagraph"/>
        <w:numPr>
          <w:ilvl w:val="0"/>
          <w:numId w:val="8"/>
        </w:numPr>
        <w:spacing w:lineRule="auto" w:line="360" w:before="102" w:after="140"/>
        <w:ind w:left="0" w:right="61" w:firstLine="1134"/>
        <w:jc w:val="both"/>
        <w:rPr>
          <w:rFonts w:ascii="Times New Roman" w:hAnsi="Times New Roman"/>
          <w:sz w:val="24"/>
          <w:szCs w:val="24"/>
        </w:rPr>
      </w:pPr>
      <w:r>
        <w:rPr>
          <w:rFonts w:ascii="Times New Roman" w:hAnsi="Times New Roman"/>
          <w:sz w:val="24"/>
          <w:szCs w:val="24"/>
        </w:rPr>
        <w:t xml:space="preserve">Quando a temperatura de cristalização diminui, o número de núcleos estáveis aumenta e a velocidade de crescimento destes reduz. </w:t>
      </w:r>
    </w:p>
    <w:p>
      <w:pPr>
        <w:pStyle w:val="ListParagraph"/>
        <w:numPr>
          <w:ilvl w:val="0"/>
          <w:numId w:val="8"/>
        </w:numPr>
        <w:spacing w:lineRule="auto" w:line="360" w:before="102" w:after="140"/>
        <w:ind w:left="0" w:right="61" w:firstLine="1134"/>
        <w:jc w:val="both"/>
        <w:rPr>
          <w:rFonts w:ascii="Times New Roman" w:hAnsi="Times New Roman"/>
          <w:sz w:val="24"/>
          <w:szCs w:val="24"/>
        </w:rPr>
      </w:pPr>
      <w:r>
        <w:rPr>
          <w:rFonts w:ascii="Times New Roman" w:hAnsi="Times New Roman"/>
          <w:sz w:val="24"/>
          <w:szCs w:val="24"/>
        </w:rPr>
        <w:t xml:space="preserve">Quando a temperatura de cristalização aumenta, o número de núcleos estáveis diminui e a velocidade de crescimento destes aumenta. </w:t>
      </w:r>
    </w:p>
    <w:p>
      <w:pPr>
        <w:pStyle w:val="ListParagraph"/>
        <w:numPr>
          <w:ilvl w:val="0"/>
          <w:numId w:val="7"/>
        </w:numPr>
        <w:spacing w:lineRule="auto" w:line="360" w:before="102" w:after="140"/>
        <w:ind w:left="0" w:right="61" w:firstLine="1134"/>
        <w:jc w:val="both"/>
        <w:rPr>
          <w:rFonts w:ascii="Times New Roman" w:hAnsi="Times New Roman"/>
          <w:sz w:val="24"/>
          <w:szCs w:val="24"/>
        </w:rPr>
      </w:pPr>
      <w:r>
        <w:rPr>
          <w:rFonts w:ascii="Times New Roman" w:hAnsi="Times New Roman"/>
          <w:sz w:val="24"/>
          <w:szCs w:val="24"/>
        </w:rPr>
        <w:t>No ponto I, a taxa de nucleação é pequena devido à baixa formação de núcleos estáveis, porém, a alta frequência de agrupamento, proporciona um crescimento mais rápido.</w:t>
      </w:r>
    </w:p>
    <w:p>
      <w:pPr>
        <w:pStyle w:val="ListParagraph"/>
        <w:numPr>
          <w:ilvl w:val="0"/>
          <w:numId w:val="7"/>
        </w:numPr>
        <w:spacing w:lineRule="auto" w:line="360" w:before="0" w:after="0"/>
        <w:ind w:left="0" w:right="61" w:firstLine="1134"/>
        <w:contextualSpacing/>
        <w:jc w:val="both"/>
        <w:rPr>
          <w:rFonts w:ascii="Times New Roman" w:hAnsi="Times New Roman"/>
          <w:sz w:val="24"/>
          <w:szCs w:val="24"/>
        </w:rPr>
      </w:pPr>
      <w:r>
        <w:rPr>
          <w:rFonts w:ascii="Times New Roman" w:hAnsi="Times New Roman"/>
          <w:sz w:val="24"/>
          <w:szCs w:val="24"/>
        </w:rPr>
        <w:t xml:space="preserve">No ponto III, a taxa de nucleação também é pequena, mas ocorre o inverso do ponto I, com a formação uma grande quantidade de núcleos estáveis, ocorre pouco crescimento. </w:t>
      </w:r>
    </w:p>
    <w:p>
      <w:pPr>
        <w:pStyle w:val="ListParagraph"/>
        <w:numPr>
          <w:ilvl w:val="0"/>
          <w:numId w:val="7"/>
        </w:numPr>
        <w:spacing w:lineRule="auto" w:line="360" w:before="0" w:after="0"/>
        <w:ind w:left="0" w:right="61" w:firstLine="1134"/>
        <w:contextualSpacing/>
        <w:jc w:val="both"/>
        <w:rPr>
          <w:rFonts w:ascii="Times New Roman" w:hAnsi="Times New Roman"/>
          <w:sz w:val="24"/>
          <w:szCs w:val="24"/>
        </w:rPr>
      </w:pPr>
      <w:r>
        <w:rPr>
          <w:rFonts w:ascii="Times New Roman" w:hAnsi="Times New Roman"/>
          <w:sz w:val="24"/>
          <w:szCs w:val="24"/>
        </w:rPr>
        <w:t xml:space="preserve">No ponto II temos o equilíbrio entre a formação de núcleos estáveis e a frequência de agrupamento (crescimento). Esse equilíbrio é onde ocorre a taxa de nucleação máxima. </w:t>
      </w:r>
      <w:r>
        <w:rPr>
          <w:rFonts w:ascii="Times New Roman" w:hAnsi="Times New Roman"/>
          <w:sz w:val="24"/>
          <w:szCs w:val="24"/>
          <w:vertAlign w:val="subscript"/>
        </w:rPr>
        <w:t xml:space="preserve"> </w:t>
      </w:r>
      <w:r>
        <w:rPr>
          <w:rFonts w:ascii="Times New Roman" w:hAnsi="Times New Roman"/>
          <w:sz w:val="24"/>
          <w:szCs w:val="24"/>
        </w:rPr>
        <w:t xml:space="preserve">  </w:t>
      </w:r>
    </w:p>
    <w:p>
      <w:pPr>
        <w:pStyle w:val="ListParagraph"/>
        <w:spacing w:lineRule="auto" w:line="360" w:before="0" w:after="0"/>
        <w:ind w:left="1134" w:right="61" w:hanging="0"/>
        <w:contextualSpacing/>
        <w:jc w:val="both"/>
        <w:rPr>
          <w:rFonts w:ascii="Times New Roman" w:hAnsi="Times New Roman"/>
          <w:sz w:val="24"/>
          <w:szCs w:val="24"/>
        </w:rPr>
      </w:pPr>
      <w:r>
        <w:rPr>
          <w:rFonts w:ascii="Times New Roman" w:hAnsi="Times New Roman"/>
          <w:sz w:val="24"/>
          <w:szCs w:val="24"/>
        </w:rPr>
      </w:r>
    </w:p>
    <w:p>
      <w:pPr>
        <w:pStyle w:val="Normal"/>
        <w:spacing w:lineRule="auto" w:line="360" w:before="0" w:after="0"/>
        <w:ind w:right="-1" w:hanging="0"/>
        <w:jc w:val="both"/>
        <w:rPr>
          <w:rFonts w:ascii="Times New Roman" w:hAnsi="Times New Roman" w:cs="Times New Roman"/>
          <w:b/>
          <w:b/>
          <w:i/>
          <w:i/>
          <w:sz w:val="24"/>
          <w:szCs w:val="20"/>
        </w:rPr>
      </w:pPr>
      <w:r>
        <w:rPr>
          <w:rFonts w:cs="Times New Roman" w:ascii="Times New Roman" w:hAnsi="Times New Roman"/>
          <w:b/>
          <w:i/>
          <w:sz w:val="24"/>
          <w:szCs w:val="20"/>
        </w:rPr>
        <w:t>3.5.3 Crescimento</w:t>
      </w:r>
      <w:bookmarkStart w:id="127" w:name="_Hlk156918672"/>
      <w:bookmarkEnd w:id="127"/>
    </w:p>
    <w:p>
      <w:pPr>
        <w:pStyle w:val="Normal"/>
        <w:spacing w:lineRule="auto" w:line="360" w:before="0" w:after="0"/>
        <w:ind w:right="-1" w:hanging="0"/>
        <w:jc w:val="both"/>
        <w:rPr>
          <w:rFonts w:ascii="Times New Roman" w:hAnsi="Times New Roman" w:cs="Times New Roman"/>
          <w:sz w:val="24"/>
          <w:szCs w:val="20"/>
        </w:rPr>
      </w:pPr>
      <w:r>
        <w:rPr>
          <w:rFonts w:cs="Times New Roman" w:ascii="Times New Roman" w:hAnsi="Times New Roman"/>
          <w:sz w:val="24"/>
          <w:szCs w:val="20"/>
        </w:rPr>
      </w:r>
    </w:p>
    <w:p>
      <w:pPr>
        <w:pStyle w:val="NormalWeb"/>
        <w:shd w:val="clear" w:color="auto" w:fill="FFFFFF"/>
        <w:spacing w:lineRule="auto" w:line="360" w:before="0" w:after="0"/>
        <w:ind w:firstLine="1134"/>
        <w:jc w:val="both"/>
        <w:rPr>
          <w:sz w:val="24"/>
          <w:szCs w:val="24"/>
        </w:rPr>
      </w:pPr>
      <w:r>
        <w:rPr>
          <w:sz w:val="24"/>
          <w:szCs w:val="24"/>
        </w:rPr>
        <w:t>Svante August Arrhenius (1859 - 1927) foi um físico-químico sueco famoso por seus estudos envolvendo soluções eletrolíticas, onde desenvolveu a primeira teoria ácido-base em cinética química.</w:t>
      </w:r>
    </w:p>
    <w:p>
      <w:pPr>
        <w:pStyle w:val="NormalWeb"/>
        <w:shd w:val="clear" w:color="auto" w:fill="FFFFFF"/>
        <w:spacing w:lineRule="auto" w:line="360" w:before="0" w:after="0"/>
        <w:ind w:firstLine="1134"/>
        <w:jc w:val="both"/>
        <w:rPr>
          <w:sz w:val="24"/>
          <w:szCs w:val="24"/>
        </w:rPr>
      </w:pPr>
      <w:r>
        <w:rPr>
          <w:sz w:val="24"/>
          <w:szCs w:val="24"/>
        </w:rPr>
        <w:t>Recebeu o Nobel de Química de 1903, "em reconhecimento dos serviços extraordinários concedidos ao avanço da Química pela sua teoria electrolítica da dissociação".</w:t>
      </w:r>
    </w:p>
    <w:p>
      <w:pPr>
        <w:pStyle w:val="NormalWeb"/>
        <w:shd w:val="clear" w:color="auto" w:fill="FFFFFF"/>
        <w:spacing w:lineRule="auto" w:line="360" w:before="0" w:after="0"/>
        <w:ind w:firstLine="1134"/>
        <w:jc w:val="both"/>
        <w:rPr>
          <w:sz w:val="24"/>
          <w:szCs w:val="24"/>
        </w:rPr>
      </w:pPr>
      <w:r>
        <w:rPr>
          <w:sz w:val="24"/>
          <w:szCs w:val="24"/>
        </w:rPr>
        <w:t>Além disso, trabalhou em diversos ramos da físico-química, como velocidade das reações, sobre a prática da imunização e sobre astronomia. Como consequência, em 1889, descobriu que a velocidade das reações químicas aumenta com a temperatura, numa relação proporcional com a concentração de moléculas existentes.</w:t>
      </w:r>
    </w:p>
    <w:p>
      <w:pPr>
        <w:pStyle w:val="NormalWeb"/>
        <w:shd w:val="clear" w:color="auto" w:fill="FFFFFF"/>
        <w:spacing w:lineRule="auto" w:line="360" w:before="0" w:after="0"/>
        <w:ind w:firstLine="1134"/>
        <w:jc w:val="both"/>
        <w:rPr>
          <w:sz w:val="24"/>
          <w:szCs w:val="24"/>
        </w:rPr>
      </w:pPr>
      <w:r>
        <w:rPr>
          <w:sz w:val="24"/>
          <w:szCs w:val="24"/>
        </w:rPr>
        <w:t xml:space="preserve">Sabe-se que a velocidade de uma reação depende da energia de ativação necessária para o crescimento do cristal e da frequência de colisões entre as moléculas que reagem, da temperatura e da orientação apropriada das moléculas ao colidirem. </w:t>
      </w:r>
    </w:p>
    <w:p>
      <w:pPr>
        <w:pStyle w:val="NormalWeb"/>
        <w:shd w:val="clear" w:color="auto" w:fill="FFFFFF"/>
        <w:spacing w:lineRule="auto" w:line="360" w:before="0" w:after="0"/>
        <w:ind w:firstLine="1134"/>
        <w:jc w:val="both"/>
        <w:rPr>
          <w:sz w:val="24"/>
          <w:szCs w:val="24"/>
        </w:rPr>
      </w:pPr>
      <w:r>
        <w:rPr>
          <w:sz w:val="24"/>
          <w:szCs w:val="24"/>
        </w:rPr>
        <w:t>Estas condições resumem-se na equação de Arrhenius:</w:t>
      </w:r>
    </w:p>
    <w:p>
      <w:pPr>
        <w:pStyle w:val="NormalWeb"/>
        <w:shd w:val="clear" w:color="auto" w:fill="FFFFFF"/>
        <w:spacing w:lineRule="auto" w:line="360" w:before="0" w:after="0"/>
        <w:ind w:firstLine="1134"/>
        <w:jc w:val="both"/>
        <w:rPr>
          <w:sz w:val="24"/>
          <w:szCs w:val="24"/>
        </w:rPr>
      </w:pPr>
      <w:r>
        <w:rPr>
          <w:sz w:val="24"/>
          <w:szCs w:val="24"/>
        </w:rPr>
      </w:r>
    </w:p>
    <w:p>
      <w:pPr>
        <w:pStyle w:val="NormalWeb"/>
        <w:shd w:val="clear" w:color="auto" w:fill="FFFFFF"/>
        <w:spacing w:lineRule="auto" w:line="360" w:before="0" w:after="0"/>
        <w:ind w:firstLine="1134"/>
        <w:jc w:val="both"/>
        <w:rPr>
          <w:b/>
          <w:b/>
          <w:sz w:val="24"/>
          <w:szCs w:val="24"/>
        </w:rPr>
      </w:pPr>
      <w:r>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A</m:t>
        </m:r>
        <m:sSup>
          <m:e>
            <m:r>
              <w:rPr>
                <w:rFonts w:ascii="Cambria Math" w:hAnsi="Cambria Math"/>
              </w:rPr>
              <m:t xml:space="preserve">exp</m:t>
            </m:r>
          </m:e>
          <m:sup>
            <m:f>
              <m:num>
                <m:r>
                  <w:rPr>
                    <w:rFonts w:ascii="Cambria Math" w:hAnsi="Cambria Math"/>
                  </w:rPr>
                  <m:t xml:space="preserve">−</m:t>
                </m:r>
                <m:sSub>
                  <m:e>
                    <m:r>
                      <w:rPr>
                        <w:rFonts w:ascii="Cambria Math" w:hAnsi="Cambria Math"/>
                      </w:rPr>
                      <m:t xml:space="preserve">E</m:t>
                    </m:r>
                  </m:e>
                  <m:sub>
                    <m:r>
                      <w:rPr>
                        <w:rFonts w:ascii="Cambria Math" w:hAnsi="Cambria Math"/>
                      </w:rPr>
                      <m:t xml:space="preserve">a</m:t>
                    </m:r>
                  </m:sub>
                </m:sSub>
              </m:num>
              <m:den>
                <m:r>
                  <w:rPr>
                    <w:rFonts w:ascii="Cambria Math" w:hAnsi="Cambria Math"/>
                  </w:rPr>
                  <m:t xml:space="preserve">RT</m:t>
                </m:r>
              </m:den>
            </m:f>
          </m:sup>
        </m:sSup>
      </m:oMath>
      <w:r>
        <w:rPr>
          <w:b/>
          <w:sz w:val="24"/>
          <w:szCs w:val="24"/>
        </w:rPr>
        <w:t xml:space="preserve">                                                                                                                 </w:t>
      </w:r>
      <w:r>
        <w:rPr>
          <w:sz w:val="24"/>
          <w:szCs w:val="24"/>
        </w:rPr>
        <w:t>(14)</w:t>
      </w:r>
    </w:p>
    <w:p>
      <w:pPr>
        <w:pStyle w:val="Normal"/>
        <w:spacing w:lineRule="auto" w:line="360" w:before="0" w:after="0"/>
        <w:ind w:left="1134" w:hanging="0"/>
        <w:jc w:val="both"/>
        <w:rPr>
          <w:rFonts w:ascii="Times New Roman" w:hAnsi="Times New Roman" w:cs="Times New Roman"/>
          <w:sz w:val="24"/>
          <w:szCs w:val="24"/>
        </w:rPr>
      </w:pPr>
      <w:r>
        <w:rPr>
          <w:rFonts w:cs="Times New Roman" w:ascii="Times New Roman" w:hAnsi="Times New Roman"/>
          <w:sz w:val="24"/>
          <w:szCs w:val="24"/>
        </w:rPr>
        <w:t>Onde,</w:t>
      </w:r>
    </w:p>
    <w:p>
      <w:pPr>
        <w:pStyle w:val="NormalWeb"/>
        <w:shd w:val="clear" w:color="auto" w:fill="FFFFFF"/>
        <w:spacing w:lineRule="auto" w:line="360" w:before="0" w:after="0"/>
        <w:ind w:left="1134" w:hanging="0"/>
        <w:jc w:val="both"/>
        <w:rPr>
          <w:sz w:val="24"/>
          <w:szCs w:val="24"/>
        </w:rPr>
      </w:pPr>
      <w:r>
        <w:rPr>
          <w:b/>
          <w:i/>
          <w:sz w:val="24"/>
          <w:szCs w:val="24"/>
        </w:rPr>
        <w:t>k</w:t>
      </w:r>
      <w:r>
        <w:rPr>
          <w:sz w:val="24"/>
          <w:szCs w:val="24"/>
        </w:rPr>
        <w:t xml:space="preserve"> - Taxa de cristalização (Crescimento do cristal);</w:t>
      </w:r>
    </w:p>
    <w:p>
      <w:pPr>
        <w:pStyle w:val="NormalWeb"/>
        <w:shd w:val="clear" w:color="auto" w:fill="FFFFFF"/>
        <w:spacing w:lineRule="auto" w:line="360" w:before="0" w:after="0"/>
        <w:ind w:left="1134" w:hanging="0"/>
        <w:jc w:val="both"/>
        <w:rPr>
          <w:sz w:val="24"/>
          <w:szCs w:val="24"/>
        </w:rPr>
      </w:pPr>
      <w:bookmarkStart w:id="128" w:name="_Hlk156902816"/>
      <w:r>
        <w:rPr>
          <w:b/>
          <w:i/>
          <w:sz w:val="24"/>
          <w:szCs w:val="24"/>
        </w:rPr>
        <w:t>A</w:t>
      </w:r>
      <w:r>
        <w:rPr>
          <w:sz w:val="24"/>
          <w:szCs w:val="24"/>
        </w:rPr>
        <w:t xml:space="preserve"> - </w:t>
      </w:r>
      <w:bookmarkEnd w:id="128"/>
      <w:r>
        <w:rPr>
          <w:sz w:val="24"/>
          <w:szCs w:val="24"/>
        </w:rPr>
        <w:t>Fator de frequência de formação dos cristais; </w:t>
      </w:r>
    </w:p>
    <w:p>
      <w:pPr>
        <w:pStyle w:val="NormalWeb"/>
        <w:shd w:val="clear" w:color="auto" w:fill="FFFFFF"/>
        <w:spacing w:lineRule="auto" w:line="360" w:before="0" w:after="0"/>
        <w:ind w:left="1134" w:hanging="0"/>
        <w:jc w:val="both"/>
        <w:rPr>
          <w:sz w:val="24"/>
          <w:szCs w:val="24"/>
        </w:rPr>
      </w:pPr>
      <w:r>
        <w:rPr>
          <w:b/>
          <w:i/>
          <w:sz w:val="24"/>
          <w:szCs w:val="24"/>
        </w:rPr>
        <w:t>Ea</w:t>
      </w:r>
      <w:r>
        <w:rPr>
          <w:sz w:val="24"/>
          <w:szCs w:val="24"/>
        </w:rPr>
        <w:t xml:space="preserve"> - Energia de ativação necessária para o crescimento do cristal;</w:t>
      </w:r>
    </w:p>
    <w:p>
      <w:pPr>
        <w:pStyle w:val="NormalWeb"/>
        <w:shd w:val="clear" w:color="auto" w:fill="FFFFFF"/>
        <w:spacing w:lineRule="auto" w:line="360" w:before="0" w:after="0"/>
        <w:ind w:left="1134" w:hanging="0"/>
        <w:jc w:val="both"/>
        <w:rPr>
          <w:sz w:val="24"/>
          <w:szCs w:val="24"/>
        </w:rPr>
      </w:pPr>
      <w:r>
        <w:rPr>
          <w:b/>
          <w:i/>
          <w:sz w:val="24"/>
          <w:szCs w:val="24"/>
        </w:rPr>
        <w:t>R</w:t>
      </w:r>
      <w:r>
        <w:rPr>
          <w:sz w:val="24"/>
          <w:szCs w:val="24"/>
        </w:rPr>
        <w:t xml:space="preserve"> - Constante dos gases (R = 8,314 J/K.mol);</w:t>
      </w:r>
      <w:bookmarkStart w:id="129" w:name="_Hlk156902799"/>
      <w:bookmarkEnd w:id="129"/>
    </w:p>
    <w:p>
      <w:pPr>
        <w:pStyle w:val="NormalWeb"/>
        <w:shd w:val="clear" w:color="auto" w:fill="FFFFFF"/>
        <w:spacing w:lineRule="auto" w:line="360" w:before="0" w:after="0"/>
        <w:ind w:left="1134" w:hanging="0"/>
        <w:jc w:val="both"/>
        <w:rPr>
          <w:sz w:val="24"/>
          <w:szCs w:val="24"/>
        </w:rPr>
      </w:pPr>
      <w:r>
        <w:rPr>
          <w:b/>
          <w:i/>
          <w:sz w:val="24"/>
          <w:szCs w:val="24"/>
        </w:rPr>
        <w:t>T</w:t>
      </w:r>
      <w:r>
        <w:rPr>
          <w:sz w:val="24"/>
          <w:szCs w:val="24"/>
        </w:rPr>
        <w:t xml:space="preserve"> - Temperatura do processo (Graus Kelvin);</w:t>
      </w:r>
    </w:p>
    <w:p>
      <w:pPr>
        <w:pStyle w:val="Normal"/>
        <w:spacing w:lineRule="auto" w:line="360" w:before="0" w:after="0"/>
        <w:ind w:firstLine="1134"/>
        <w:jc w:val="both"/>
        <w:rPr>
          <w:rFonts w:ascii="Times-Roman" w:hAnsi="Times-Roman" w:cs="Times-Roman"/>
          <w:sz w:val="24"/>
          <w:szCs w:val="24"/>
        </w:rPr>
      </w:pPr>
      <w:r>
        <w:rPr>
          <w:rFonts w:cs="Times-Roman" w:ascii="Times-Roman" w:hAnsi="Times-Roman"/>
          <w:sz w:val="24"/>
          <w:szCs w:val="24"/>
        </w:rPr>
        <w:t xml:space="preserve">A taxa de cristalização </w:t>
      </w:r>
      <w:r>
        <w:rPr>
          <w:rFonts w:cs="Times-Roman" w:ascii="Times-Roman" w:hAnsi="Times-Roman"/>
          <w:b/>
          <w:i/>
          <w:sz w:val="24"/>
          <w:szCs w:val="24"/>
        </w:rPr>
        <w:t>k</w:t>
      </w:r>
      <w:r>
        <w:rPr>
          <w:rFonts w:cs="Times-Roman" w:ascii="Times-Roman" w:hAnsi="Times-Roman"/>
          <w:sz w:val="24"/>
          <w:szCs w:val="24"/>
        </w:rPr>
        <w:t xml:space="preserve">, representa a probabilidade estatística para a barreira de energia </w:t>
      </w:r>
      <w:r>
        <w:rPr>
          <w:rFonts w:cs="Times-Italic" w:ascii="Times-Italic" w:hAnsi="Times-Italic"/>
          <w:i/>
          <w:iCs/>
          <w:sz w:val="24"/>
          <w:szCs w:val="24"/>
        </w:rPr>
        <w:t xml:space="preserve">Ea </w:t>
      </w:r>
      <w:r>
        <w:rPr>
          <w:rFonts w:cs="Times-Roman" w:ascii="Times-Roman" w:hAnsi="Times-Roman"/>
          <w:sz w:val="24"/>
          <w:szCs w:val="24"/>
        </w:rPr>
        <w:t xml:space="preserve">ser superada quando o sistema sofre um esforço com energia de ativação </w:t>
      </w:r>
      <w:r>
        <w:rPr>
          <w:rFonts w:cs="Times New Roman" w:ascii="Times New Roman" w:hAnsi="Times New Roman"/>
          <w:sz w:val="24"/>
          <w:szCs w:val="24"/>
        </w:rPr>
        <w:t xml:space="preserve">suficiente. O fator pré-exponencial </w:t>
      </w:r>
      <w:r>
        <w:rPr>
          <w:rFonts w:cs="Times New Roman" w:ascii="Times New Roman" w:hAnsi="Times New Roman"/>
          <w:b/>
          <w:i/>
          <w:iCs/>
          <w:sz w:val="24"/>
          <w:szCs w:val="24"/>
        </w:rPr>
        <w:t>A</w:t>
      </w:r>
      <w:r>
        <w:rPr>
          <w:rFonts w:cs="Times New Roman" w:ascii="Times New Roman" w:hAnsi="Times New Roman"/>
          <w:sz w:val="24"/>
          <w:szCs w:val="24"/>
        </w:rPr>
        <w:t xml:space="preserve">, tem as mesmas unidades de </w:t>
      </w:r>
      <w:r>
        <w:rPr>
          <w:rFonts w:cs="Times New Roman" w:ascii="Times New Roman" w:hAnsi="Times New Roman"/>
          <w:b/>
          <w:i/>
          <w:iCs/>
          <w:sz w:val="24"/>
          <w:szCs w:val="24"/>
        </w:rPr>
        <w:t>k</w:t>
      </w:r>
      <w:r>
        <w:rPr>
          <w:rFonts w:cs="Times New Roman" w:ascii="Times New Roman" w:hAnsi="Times New Roman"/>
          <w:i/>
          <w:iCs/>
          <w:sz w:val="24"/>
          <w:szCs w:val="24"/>
        </w:rPr>
        <w:t xml:space="preserve">, </w:t>
      </w:r>
      <w:r>
        <w:rPr>
          <w:rFonts w:cs="Times New Roman" w:ascii="Times New Roman" w:hAnsi="Times New Roman"/>
          <w:sz w:val="24"/>
          <w:szCs w:val="24"/>
        </w:rPr>
        <w:t>pode ser correlacionado</w:t>
      </w:r>
      <w:r>
        <w:rPr>
          <w:rFonts w:cs="Times-Roman" w:ascii="Times-Roman" w:hAnsi="Times-Roman"/>
          <w:sz w:val="24"/>
          <w:szCs w:val="24"/>
        </w:rPr>
        <w:t xml:space="preserve"> com o número de tentativas bem-sucedidas, enquanto </w:t>
      </w:r>
      <w:r>
        <w:rPr>
          <w:rFonts w:cs="Times-Roman" w:ascii="Times-Roman" w:hAnsi="Times-Roman"/>
          <w:b/>
          <w:i/>
          <w:sz w:val="24"/>
          <w:szCs w:val="24"/>
        </w:rPr>
        <w:t>T</w:t>
      </w:r>
      <w:r>
        <w:rPr>
          <w:rFonts w:cs="Times-Roman" w:ascii="Times-Roman" w:hAnsi="Times-Roman"/>
          <w:sz w:val="16"/>
          <w:szCs w:val="16"/>
        </w:rPr>
        <w:t xml:space="preserve"> </w:t>
      </w:r>
      <w:r>
        <w:rPr>
          <w:rFonts w:cs="Times-Roman" w:ascii="Times-Roman" w:hAnsi="Times-Roman"/>
          <w:sz w:val="24"/>
          <w:szCs w:val="24"/>
        </w:rPr>
        <w:t>está relacionado com a temperatura suficiente para a formação máxima de núcleos durante a nucleação (</w:t>
      </w:r>
      <w:r>
        <w:rPr>
          <w:rFonts w:eastAsia="TimesNewRomanPSMT" w:cs="TimesNewRomanPSMT" w:ascii="TimesNewRomanPSMT" w:hAnsi="TimesNewRomanPSMT"/>
          <w:sz w:val="24"/>
          <w:szCs w:val="24"/>
        </w:rPr>
        <w:t>Š</w:t>
      </w:r>
      <w:r>
        <w:rPr>
          <w:rFonts w:cs="Times-Roman" w:ascii="Times-Roman" w:hAnsi="Times-Roman"/>
          <w:sz w:val="24"/>
          <w:szCs w:val="24"/>
        </w:rPr>
        <w:t>esták, 1971).</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i/>
          <w:sz w:val="24"/>
          <w:szCs w:val="24"/>
        </w:rPr>
        <w:t>3.5.3.1 Taxa de crescimento</w:t>
      </w:r>
      <w:bookmarkStart w:id="130" w:name="_Hlk156918738"/>
      <w:bookmarkEnd w:id="130"/>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Segundo Shelby (2005), um grande número de expressões que descrevem o crescimento de cristais também pode ser encontrado na literatura. Muitas dessas equações tratam de questões específicas para diferentes mecanismos de crescimento de cristais. Um modelo geral simples, no entanto, pode ser derivado usando a lógica semelhantes à da taxa de nucleação. Neste caso, uma equação geral para a taxa de crescimento do cristal </w:t>
      </w:r>
      <w:r>
        <w:rPr>
          <w:rFonts w:cs="Times New Roman" w:ascii="Times New Roman" w:hAnsi="Times New Roman"/>
          <w:b/>
          <w:i/>
          <w:sz w:val="24"/>
          <w:szCs w:val="24"/>
        </w:rPr>
        <w:t>G</w:t>
      </w:r>
      <w:r>
        <w:rPr>
          <w:rFonts w:cs="Times New Roman" w:ascii="Times New Roman" w:hAnsi="Times New Roman"/>
          <w:sz w:val="24"/>
          <w:szCs w:val="24"/>
        </w:rPr>
        <w:t>, é dada pela expressão:</w:t>
      </w:r>
    </w:p>
    <w:p>
      <w:pPr>
        <w:pStyle w:val="Normal"/>
        <w:spacing w:lineRule="auto" w:line="360" w:before="240" w:after="140"/>
        <w:ind w:firstLine="1134"/>
        <w:jc w:val="both"/>
        <w:rPr>
          <w:rFonts w:ascii="Times New Roman" w:hAnsi="Times New Roman" w:cs="Times New Roman"/>
          <w:sz w:val="24"/>
          <w:szCs w:val="24"/>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λ</m:t>
        </m:r>
        <m:r>
          <w:rPr>
            <w:rFonts w:ascii="Cambria Math" w:hAnsi="Cambria Math"/>
          </w:rPr>
          <m:t xml:space="preserve">ν</m:t>
        </m:r>
        <m:r>
          <w:rPr>
            <w:rFonts w:ascii="Cambria Math" w:hAnsi="Cambria Math"/>
          </w:rPr>
          <m:t xml:space="preserve">exp</m:t>
        </m:r>
        <m:d>
          <m:dPr>
            <m:begChr m:val="("/>
            <m:endChr m:val=")"/>
          </m:dPr>
          <m:e>
            <m:f>
              <m:num>
                <m:r>
                  <w:rPr>
                    <w:rFonts w:ascii="Cambria Math" w:hAnsi="Cambria Math"/>
                  </w:rPr>
                  <m:t xml:space="preserve">−</m:t>
                </m:r>
                <m:sSub>
                  <m:e>
                    <m:r>
                      <w:rPr>
                        <w:rFonts w:ascii="Cambria Math" w:hAnsi="Cambria Math"/>
                      </w:rPr>
                      <m:t xml:space="preserve">E</m:t>
                    </m:r>
                  </m:e>
                  <m:sub>
                    <m:r>
                      <w:rPr>
                        <w:rFonts w:ascii="Cambria Math" w:hAnsi="Cambria Math"/>
                      </w:rPr>
                      <m:t xml:space="preserve">a</m:t>
                    </m:r>
                  </m:sub>
                </m:sSub>
              </m:num>
              <m:den>
                <m:r>
                  <w:rPr>
                    <w:rFonts w:ascii="Cambria Math" w:hAnsi="Cambria Math"/>
                  </w:rPr>
                  <m:t xml:space="preserve">kT</m:t>
                </m:r>
              </m:den>
            </m:f>
          </m:e>
        </m:d>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exp</m:t>
            </m:r>
            <m:d>
              <m:dPr>
                <m:begChr m:val="("/>
                <m:endChr m:val=")"/>
              </m:dPr>
              <m:e>
                <m:f>
                  <m:num>
                    <m:sSup>
                      <m:e>
                        <m:r>
                          <w:rPr>
                            <w:rFonts w:ascii="Cambria Math" w:hAnsi="Cambria Math"/>
                          </w:rPr>
                          <m:t xml:space="preserve">∆</m:t>
                        </m:r>
                        <m:r>
                          <w:rPr>
                            <w:rFonts w:ascii="Cambria Math" w:hAnsi="Cambria Math"/>
                          </w:rPr>
                          <m:t xml:space="preserve">G</m:t>
                        </m:r>
                      </m:e>
                      <m:sup/>
                    </m:sSup>
                  </m:num>
                  <m:den>
                    <m:r>
                      <w:rPr>
                        <w:rFonts w:ascii="Cambria Math" w:hAnsi="Cambria Math"/>
                      </w:rPr>
                      <m:t xml:space="preserve">kT</m:t>
                    </m:r>
                  </m:den>
                </m:f>
              </m:e>
            </m:d>
          </m:e>
        </m:d>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(15)</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w:t>
      </w:r>
      <w:r>
        <w:rPr>
          <w:rFonts w:cs="Times New Roman" w:ascii="Times New Roman" w:hAnsi="Times New Roman"/>
          <w:b/>
          <w:i/>
          <w:sz w:val="24"/>
          <w:szCs w:val="24"/>
        </w:rPr>
        <w:t>λ</w:t>
      </w:r>
      <w:r>
        <w:rPr>
          <w:rFonts w:cs="Times New Roman" w:ascii="Times New Roman" w:hAnsi="Times New Roman"/>
          <w:sz w:val="24"/>
          <w:szCs w:val="24"/>
        </w:rPr>
        <w:t xml:space="preserve">, é a distância de separação entre os átomos, </w:t>
      </w:r>
      <w:r>
        <w:rPr>
          <w:rFonts w:cs="Times New Roman" w:ascii="Times New Roman" w:hAnsi="Times New Roman"/>
          <w:b/>
          <w:i/>
          <w:sz w:val="24"/>
          <w:szCs w:val="24"/>
        </w:rPr>
        <w:t>ν</w:t>
      </w:r>
      <w:r>
        <w:rPr>
          <w:rFonts w:cs="Times New Roman" w:ascii="Times New Roman" w:hAnsi="Times New Roman"/>
          <w:sz w:val="24"/>
          <w:szCs w:val="24"/>
        </w:rPr>
        <w:t xml:space="preserve"> é a frequência de vibração dos átomos, e </w:t>
      </w:r>
      <w:r>
        <w:rPr>
          <w:rFonts w:cs="Times New Roman" w:ascii="Times New Roman" w:hAnsi="Times New Roman"/>
          <w:b/>
          <w:i/>
          <w:sz w:val="24"/>
          <w:szCs w:val="24"/>
        </w:rPr>
        <w:t>Ea</w:t>
      </w:r>
      <w:r>
        <w:rPr>
          <w:rFonts w:cs="Times New Roman" w:ascii="Times New Roman" w:hAnsi="Times New Roman"/>
          <w:sz w:val="24"/>
          <w:szCs w:val="24"/>
        </w:rPr>
        <w:t xml:space="preserve"> e </w:t>
      </w:r>
      <w:r>
        <w:rPr>
          <w:rFonts w:cs="Times New Roman" w:ascii="Times New Roman" w:hAnsi="Times New Roman"/>
          <w:b/>
          <w:i/>
          <w:sz w:val="24"/>
          <w:szCs w:val="24"/>
        </w:rPr>
        <w:t>ΔG*</w:t>
      </w:r>
      <w:r>
        <w:rPr>
          <w:rFonts w:cs="Times New Roman" w:ascii="Times New Roman" w:hAnsi="Times New Roman"/>
          <w:sz w:val="24"/>
          <w:szCs w:val="24"/>
        </w:rPr>
        <w:t xml:space="preserve"> são as barreiras cinética e termodinâmica para o crescimento do cristal. </w:t>
      </w:r>
    </w:p>
    <w:p>
      <w:pPr>
        <w:pStyle w:val="Normal"/>
        <w:spacing w:lineRule="auto" w:line="360" w:before="0" w:after="0"/>
        <w:ind w:firstLine="1134"/>
        <w:jc w:val="both"/>
        <w:rPr>
          <w:rFonts w:ascii="Times New Roman" w:hAnsi="Times New Roman"/>
          <w:b/>
          <w:b/>
          <w:i/>
          <w:i/>
          <w:sz w:val="24"/>
          <w:szCs w:val="24"/>
        </w:rPr>
      </w:pPr>
      <w:r>
        <w:rPr>
          <w:rFonts w:ascii="Times New Roman" w:hAnsi="Times New Roman"/>
          <w:sz w:val="24"/>
          <w:szCs w:val="24"/>
        </w:rPr>
        <w:t>A figura 29, ilustra as curvas das taxas de nucleação e crescimento da nucleação heterogênea em diferentes temperaturas de cristalização de um determinado material</w:t>
      </w:r>
      <w:r>
        <w:rPr>
          <w:rFonts w:ascii="Times New Roman" w:hAnsi="Times New Roman"/>
          <w:b/>
          <w:i/>
          <w:sz w:val="24"/>
          <w:szCs w:val="24"/>
        </w:rPr>
        <w:t>.</w:t>
      </w:r>
    </w:p>
    <w:p>
      <w:pPr>
        <w:pStyle w:val="Normal"/>
        <w:spacing w:lineRule="auto" w:line="360" w:before="0" w:after="0"/>
        <w:ind w:left="1418" w:right="1276" w:hanging="0"/>
        <w:jc w:val="both"/>
        <w:rPr>
          <w:rFonts w:ascii="Times New Roman" w:hAnsi="Times New Roman"/>
          <w:sz w:val="24"/>
          <w:szCs w:val="24"/>
        </w:rPr>
      </w:pPr>
      <w:r>
        <w:rPr>
          <w:rFonts w:ascii="Times New Roman" w:hAnsi="Times New Roman"/>
          <w:sz w:val="24"/>
          <w:szCs w:val="24"/>
        </w:rPr>
      </w:r>
    </w:p>
    <w:p>
      <w:pPr>
        <w:pStyle w:val="Normal"/>
        <w:spacing w:lineRule="auto" w:line="360" w:before="0" w:after="0"/>
        <w:ind w:left="1134" w:right="1276" w:hanging="0"/>
        <w:jc w:val="both"/>
        <w:rPr>
          <w:rFonts w:ascii="Times New Roman" w:hAnsi="Times New Roman"/>
          <w:sz w:val="24"/>
          <w:szCs w:val="24"/>
        </w:rPr>
      </w:pPr>
      <w:r>
        <w:rPr>
          <w:rFonts w:ascii="Times New Roman" w:hAnsi="Times New Roman"/>
          <w:sz w:val="24"/>
          <w:szCs w:val="24"/>
        </w:rPr>
      </w:r>
    </w:p>
    <w:p>
      <w:pPr>
        <w:pStyle w:val="Normal"/>
        <w:spacing w:lineRule="auto" w:line="360" w:before="0" w:after="0"/>
        <w:ind w:left="1134" w:right="1276" w:hanging="0"/>
        <w:jc w:val="both"/>
        <w:rPr>
          <w:rFonts w:ascii="Times New Roman" w:hAnsi="Times New Roman"/>
          <w:sz w:val="24"/>
          <w:szCs w:val="24"/>
        </w:rPr>
      </w:pPr>
      <w:r>
        <w:rPr>
          <w:rFonts w:ascii="Times New Roman" w:hAnsi="Times New Roman"/>
          <w:sz w:val="24"/>
          <w:szCs w:val="24"/>
        </w:rPr>
      </w:r>
    </w:p>
    <w:p>
      <w:pPr>
        <w:pStyle w:val="Normal"/>
        <w:spacing w:lineRule="auto" w:line="360" w:before="0" w:after="0"/>
        <w:ind w:left="1134" w:right="1276" w:hanging="0"/>
        <w:jc w:val="both"/>
        <w:rPr>
          <w:rFonts w:ascii="Times New Roman" w:hAnsi="Times New Roman"/>
          <w:sz w:val="24"/>
          <w:szCs w:val="24"/>
        </w:rPr>
      </w:pPr>
      <w:r>
        <w:rPr>
          <w:rFonts w:ascii="Times New Roman" w:hAnsi="Times New Roman"/>
          <w:sz w:val="24"/>
          <w:szCs w:val="24"/>
        </w:rPr>
      </w:r>
    </w:p>
    <w:p>
      <w:pPr>
        <w:pStyle w:val="Normal"/>
        <w:spacing w:lineRule="auto" w:line="360" w:before="0" w:after="0"/>
        <w:ind w:left="1134" w:right="1276" w:hanging="0"/>
        <w:jc w:val="both"/>
        <w:rPr>
          <w:rFonts w:ascii="Times New Roman" w:hAnsi="Times New Roman"/>
          <w:sz w:val="24"/>
          <w:szCs w:val="24"/>
        </w:rPr>
      </w:pPr>
      <w:r>
        <w:rPr>
          <w:rFonts w:ascii="Times New Roman" w:hAnsi="Times New Roman"/>
          <w:sz w:val="24"/>
          <w:szCs w:val="24"/>
        </w:rPr>
        <w:t xml:space="preserve">Figura 29 - Taxas de nucleação e crescimento em função da temperatura na nucleação heterogênea. </w:t>
      </w:r>
      <w:bookmarkStart w:id="131" w:name="_Hlk156893817"/>
      <w:bookmarkEnd w:id="131"/>
    </w:p>
    <w:p>
      <w:pPr>
        <w:pStyle w:val="Normal"/>
        <w:spacing w:lineRule="auto" w:line="360" w:before="0" w:after="0"/>
        <w:jc w:val="center"/>
        <w:rPr>
          <w:rFonts w:ascii="Times New Roman" w:hAnsi="Times New Roman" w:cs="Times New Roman"/>
          <w:sz w:val="24"/>
          <w:szCs w:val="24"/>
        </w:rPr>
      </w:pPr>
      <w:r>
        <w:rPr/>
        <w:drawing>
          <wp:inline distT="0" distB="5715" distL="0" distR="0">
            <wp:extent cx="4229100" cy="3423285"/>
            <wp:effectExtent l="0" t="0" r="0" b="0"/>
            <wp:docPr id="37" name="Imagem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0" descr=""/>
                    <pic:cNvPicPr>
                      <a:picLocks noChangeAspect="1" noChangeArrowheads="1"/>
                    </pic:cNvPicPr>
                  </pic:nvPicPr>
                  <pic:blipFill>
                    <a:blip r:embed="rId34"/>
                    <a:stretch>
                      <a:fillRect/>
                    </a:stretch>
                  </pic:blipFill>
                  <pic:spPr bwMode="auto">
                    <a:xfrm>
                      <a:off x="0" y="0"/>
                      <a:ext cx="4229100" cy="3423285"/>
                    </a:xfrm>
                    <a:prstGeom prst="rect">
                      <a:avLst/>
                    </a:prstGeom>
                  </pic:spPr>
                </pic:pic>
              </a:graphicData>
            </a:graphic>
          </wp:inline>
        </w:drawing>
      </w:r>
    </w:p>
    <w:p>
      <w:pPr>
        <w:pStyle w:val="Normal"/>
        <w:spacing w:lineRule="auto" w:line="360" w:before="0" w:after="0"/>
        <w:ind w:left="1134" w:hanging="0"/>
        <w:jc w:val="both"/>
        <w:rPr>
          <w:rFonts w:ascii="Times New Roman" w:hAnsi="Times New Roman"/>
          <w:sz w:val="20"/>
          <w:szCs w:val="24"/>
        </w:rPr>
      </w:pPr>
      <w:r>
        <w:rPr>
          <w:rFonts w:ascii="Times New Roman" w:hAnsi="Times New Roman"/>
          <w:sz w:val="20"/>
          <w:szCs w:val="24"/>
        </w:rPr>
        <w:t>Fonte: FOKIN (2001, com adaptação).</w:t>
      </w:r>
    </w:p>
    <w:p>
      <w:pPr>
        <w:pStyle w:val="Normal"/>
        <w:spacing w:lineRule="auto" w:line="360" w:before="0" w:after="0"/>
        <w:ind w:left="1134" w:hanging="0"/>
        <w:jc w:val="both"/>
        <w:rPr>
          <w:rFonts w:ascii="Times New Roman" w:hAnsi="Times New Roman"/>
          <w:sz w:val="20"/>
          <w:szCs w:val="24"/>
        </w:rPr>
      </w:pPr>
      <w:r>
        <w:rPr>
          <w:rFonts w:ascii="Times New Roman" w:hAnsi="Times New Roman"/>
          <w:sz w:val="20"/>
          <w:szCs w:val="24"/>
        </w:rPr>
      </w:r>
    </w:p>
    <w:p>
      <w:pPr>
        <w:pStyle w:val="Normal"/>
        <w:spacing w:lineRule="auto" w:line="360" w:before="0" w:after="0"/>
        <w:ind w:firstLine="1134"/>
        <w:jc w:val="both"/>
        <w:rPr>
          <w:rFonts w:ascii="Times New Roman" w:hAnsi="Times New Roman"/>
          <w:sz w:val="24"/>
          <w:szCs w:val="24"/>
        </w:rPr>
      </w:pPr>
      <w:r>
        <w:rPr>
          <w:rFonts w:ascii="Times New Roman" w:hAnsi="Times New Roman"/>
          <w:sz w:val="24"/>
          <w:szCs w:val="24"/>
        </w:rPr>
        <w:t xml:space="preserve">Na temperatura </w:t>
      </w:r>
      <w:r>
        <w:rPr>
          <w:rFonts w:ascii="Times New Roman" w:hAnsi="Times New Roman"/>
          <w:b/>
          <w:i/>
          <w:sz w:val="24"/>
          <w:szCs w:val="24"/>
        </w:rPr>
        <w:t>Ta</w:t>
      </w:r>
      <w:r>
        <w:rPr>
          <w:rFonts w:ascii="Times New Roman" w:hAnsi="Times New Roman"/>
          <w:sz w:val="24"/>
          <w:szCs w:val="24"/>
        </w:rPr>
        <w:t>, a taxa de nucleação é muito baixa favorecendo o crescimento cristalino e resultando em poucos cristais de tamanhos grandes.</w:t>
      </w:r>
    </w:p>
    <w:p>
      <w:pPr>
        <w:pStyle w:val="Normal"/>
        <w:spacing w:lineRule="auto" w:line="360" w:before="0" w:after="0"/>
        <w:ind w:firstLine="1134"/>
        <w:jc w:val="both"/>
        <w:rPr>
          <w:rFonts w:ascii="Times New Roman" w:hAnsi="Times New Roman"/>
          <w:sz w:val="24"/>
          <w:szCs w:val="24"/>
        </w:rPr>
      </w:pPr>
      <w:r>
        <w:rPr>
          <w:rFonts w:ascii="Times New Roman" w:hAnsi="Times New Roman"/>
          <w:sz w:val="24"/>
          <w:szCs w:val="24"/>
        </w:rPr>
        <w:t xml:space="preserve">Na temperatura </w:t>
      </w:r>
      <w:r>
        <w:rPr>
          <w:rFonts w:ascii="Times New Roman" w:hAnsi="Times New Roman"/>
          <w:b/>
          <w:i/>
          <w:sz w:val="24"/>
          <w:szCs w:val="24"/>
        </w:rPr>
        <w:t>Tb,</w:t>
      </w:r>
      <w:r>
        <w:rPr>
          <w:rFonts w:ascii="Times New Roman" w:hAnsi="Times New Roman"/>
          <w:sz w:val="24"/>
          <w:szCs w:val="24"/>
        </w:rPr>
        <w:t xml:space="preserve"> temos o inverso da </w:t>
      </w:r>
      <w:r>
        <w:rPr>
          <w:rFonts w:ascii="Times New Roman" w:hAnsi="Times New Roman"/>
          <w:b/>
          <w:i/>
          <w:sz w:val="24"/>
          <w:szCs w:val="24"/>
        </w:rPr>
        <w:t>Ta</w:t>
      </w:r>
      <w:r>
        <w:rPr>
          <w:rFonts w:ascii="Times New Roman" w:hAnsi="Times New Roman"/>
          <w:sz w:val="24"/>
          <w:szCs w:val="24"/>
        </w:rPr>
        <w:t>, a taxa de nucleação é muito alta em relação a taxa de crescimento, então teremos muitos cristais de tamanhos pequenos.</w:t>
      </w:r>
    </w:p>
    <w:p>
      <w:pPr>
        <w:pStyle w:val="Normal"/>
        <w:spacing w:lineRule="auto" w:line="360" w:before="0" w:after="0"/>
        <w:ind w:firstLine="1134"/>
        <w:jc w:val="both"/>
        <w:rPr>
          <w:rFonts w:ascii="Times New Roman" w:hAnsi="Times New Roman"/>
          <w:sz w:val="24"/>
          <w:szCs w:val="24"/>
        </w:rPr>
      </w:pPr>
      <w:r>
        <w:rPr>
          <w:rFonts w:ascii="Times New Roman" w:hAnsi="Times New Roman"/>
          <w:sz w:val="24"/>
          <w:szCs w:val="24"/>
        </w:rPr>
        <w:t xml:space="preserve">Na temperatura </w:t>
      </w:r>
      <w:r>
        <w:rPr>
          <w:rFonts w:ascii="Times New Roman" w:hAnsi="Times New Roman"/>
          <w:b/>
          <w:i/>
          <w:sz w:val="24"/>
          <w:szCs w:val="24"/>
        </w:rPr>
        <w:t>Tc</w:t>
      </w:r>
      <w:r>
        <w:rPr>
          <w:rFonts w:ascii="Times New Roman" w:hAnsi="Times New Roman"/>
          <w:sz w:val="24"/>
          <w:szCs w:val="24"/>
        </w:rPr>
        <w:t xml:space="preserve"> temos um grau muito elevado de super-resfriamento, resultando em taxas baixíssimas ​​de nucleação e de crescimento, de tal forma que o líquido se solidifica instantaneamente, gerando vidro.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 crescimento pode ocorrer em qualquer temperatura abaixo de </w:t>
      </w:r>
      <w:r>
        <w:rPr>
          <w:rFonts w:cs="Times New Roman" w:ascii="Times New Roman" w:hAnsi="Times New Roman"/>
          <w:b/>
          <w:i/>
          <w:sz w:val="24"/>
          <w:szCs w:val="24"/>
        </w:rPr>
        <w:t>T</w:t>
      </w:r>
      <w:r>
        <w:rPr>
          <w:rFonts w:cs="Times New Roman" w:ascii="Times New Roman" w:hAnsi="Times New Roman"/>
          <w:b/>
          <w:i/>
          <w:sz w:val="24"/>
          <w:szCs w:val="24"/>
          <w:vertAlign w:val="subscript"/>
        </w:rPr>
        <w:t>l</w:t>
      </w:r>
      <w:r>
        <w:rPr>
          <w:rFonts w:cs="Times New Roman" w:ascii="Times New Roman" w:hAnsi="Times New Roman"/>
          <w:sz w:val="24"/>
          <w:szCs w:val="24"/>
        </w:rPr>
        <w:t xml:space="preserve">, contanto que o núcleo seja estável. Os núcleos envolvidos nem precisam ter a mesma composição que a do cristal em crescimento, que é frequentemente no caso da nucleação heterogênea, particularmente em superfícies. Mais uma vez, se a viscosidade for baixa, a taxa de crescimento será determinada pelos valores termodinâmicos e tenderá a ser grande. À medida que a temperatura diminui, a viscosidade aumentará rapidamente, desacelerando e eventualmente interrompendo o crescimento do cristal. A curva resultante de </w:t>
      </w:r>
      <w:r>
        <w:rPr>
          <w:rFonts w:cs="Times New Roman" w:ascii="Times New Roman" w:hAnsi="Times New Roman"/>
          <w:b/>
          <w:i/>
          <w:sz w:val="24"/>
          <w:szCs w:val="24"/>
        </w:rPr>
        <w:t>G</w:t>
      </w:r>
      <w:r>
        <w:rPr>
          <w:rFonts w:cs="Times New Roman" w:ascii="Times New Roman" w:hAnsi="Times New Roman"/>
          <w:sz w:val="24"/>
          <w:szCs w:val="24"/>
        </w:rPr>
        <w:t xml:space="preserve"> versus temperatura exibirá um valor máximo e eventualmente diminuirá para zero em temperaturas mais baixas (Shelby, 2005).</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eastAsia="TimesNewRomanPSMT" w:cs="Times New Roman"/>
          <w:b/>
          <w:b/>
          <w:i/>
          <w:i/>
          <w:sz w:val="24"/>
          <w:szCs w:val="24"/>
        </w:rPr>
      </w:pPr>
      <w:r>
        <w:rPr>
          <w:rFonts w:eastAsia="TimesNewRomanPSMT" w:cs="Times New Roman" w:ascii="Times New Roman" w:hAnsi="Times New Roman"/>
          <w:b/>
          <w:i/>
          <w:sz w:val="24"/>
          <w:szCs w:val="24"/>
        </w:rPr>
        <w:t>3.5.4 Transformações de fase</w:t>
      </w:r>
      <w:bookmarkStart w:id="132" w:name="_Hlk156918768"/>
      <w:bookmarkEnd w:id="132"/>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Dois métodos de medida podem ser empregados na obtenção dos parâmetros que regem o comportamento cinético da cristalização: o não-isotérmico e o isotérmico. </w:t>
      </w:r>
    </w:p>
    <w:p>
      <w:pPr>
        <w:pStyle w:val="Normal"/>
        <w:spacing w:lineRule="auto" w:line="360" w:before="0" w:after="0"/>
        <w:ind w:firstLine="1134"/>
        <w:jc w:val="both"/>
        <w:rPr>
          <w:rFonts w:ascii="Times New Roman" w:hAnsi="Times New Roman" w:cs="Times New Roman"/>
          <w:sz w:val="24"/>
          <w:szCs w:val="24"/>
        </w:rPr>
      </w:pPr>
      <w:r>
        <w:rPr>
          <w:rFonts w:cs="Times-Roman" w:ascii="Times-Roman" w:hAnsi="Times-Roman"/>
          <w:sz w:val="24"/>
          <w:szCs w:val="24"/>
        </w:rPr>
        <w:t>Ao investigar a cinética de cristalização não isotérmica para o pó fluxante, considerando o primeiro cristal precipitado durante o resfriamento, é possível determinar tanto a energia de ativação quanto o modo de cristalização. Alguns métodos cinéticos isoconversionais, são utilizados a fim de obter a energia de ativação efetiva para a cristalização não isotérmica.</w:t>
      </w:r>
    </w:p>
    <w:p>
      <w:pPr>
        <w:pStyle w:val="Normal"/>
        <w:spacing w:lineRule="auto" w:line="360" w:before="0" w:after="0"/>
        <w:ind w:firstLine="1134"/>
        <w:jc w:val="both"/>
        <w:rPr>
          <w:rFonts w:ascii="Times New Roman" w:hAnsi="Times New Roman" w:cs="Times New Roman"/>
          <w:strike/>
          <w:sz w:val="24"/>
          <w:szCs w:val="24"/>
        </w:rPr>
      </w:pPr>
      <w:r>
        <w:rPr>
          <w:rFonts w:cs="Times New Roman" w:ascii="Times New Roman" w:hAnsi="Times New Roman"/>
          <w:sz w:val="24"/>
          <w:szCs w:val="24"/>
        </w:rPr>
        <w:t xml:space="preserve">Alguns métodos cinéticos isoconversionais determinam a energia de ativação efetiva </w:t>
      </w:r>
      <w:r>
        <w:rPr>
          <w:rFonts w:cs="Times New Roman" w:ascii="Times New Roman" w:hAnsi="Times New Roman"/>
          <w:b/>
          <w:i/>
          <w:sz w:val="24"/>
          <w:szCs w:val="24"/>
        </w:rPr>
        <w:t>Ea</w:t>
      </w:r>
      <w:r>
        <w:rPr>
          <w:rFonts w:cs="Times New Roman" w:ascii="Times New Roman" w:hAnsi="Times New Roman"/>
          <w:sz w:val="24"/>
          <w:szCs w:val="24"/>
        </w:rPr>
        <w:t xml:space="preserve">, para a cristalização não isotérmica sem a </w:t>
      </w:r>
      <w:r>
        <w:rPr>
          <w:rFonts w:cs="Times-Roman" w:ascii="Times-Roman" w:hAnsi="Times-Roman"/>
          <w:sz w:val="24"/>
          <w:szCs w:val="24"/>
        </w:rPr>
        <w:t>necessidade de conhecer a forma da equação cinética.</w:t>
      </w:r>
    </w:p>
    <w:p>
      <w:pPr>
        <w:pStyle w:val="Normal"/>
        <w:spacing w:lineRule="auto" w:line="360" w:before="0" w:after="0"/>
        <w:ind w:firstLine="1134"/>
        <w:jc w:val="both"/>
        <w:rPr>
          <w:rFonts w:ascii="Times New Roman" w:hAnsi="Times New Roman"/>
          <w:sz w:val="24"/>
          <w:szCs w:val="24"/>
        </w:rPr>
      </w:pPr>
      <w:r>
        <w:rPr>
          <w:rFonts w:ascii="Times New Roman" w:hAnsi="Times New Roman"/>
          <w:sz w:val="24"/>
          <w:szCs w:val="24"/>
        </w:rPr>
        <w:t>A taxa dos processos no estado condensado é geralmente uma função da temperatura e da conversão:</w:t>
      </w:r>
    </w:p>
    <w:p>
      <w:pPr>
        <w:pStyle w:val="Normal"/>
        <w:spacing w:lineRule="auto" w:line="360" w:before="240" w:after="140"/>
        <w:ind w:firstLine="1134"/>
        <w:jc w:val="both"/>
        <w:rPr>
          <w:rFonts w:ascii="Times New Roman" w:hAnsi="Times New Roman"/>
          <w:sz w:val="24"/>
          <w:szCs w:val="24"/>
        </w:rPr>
      </w:pPr>
      <w:r>
        <w:rPr/>
      </w:r>
      <m:oMath xmlns:m="http://schemas.openxmlformats.org/officeDocument/2006/math">
        <m:f>
          <m:num>
            <m:r>
              <w:rPr>
                <w:rFonts w:ascii="Cambria Math" w:hAnsi="Cambria Math"/>
              </w:rPr>
              <m:t xml:space="preserve">dα</m:t>
            </m:r>
          </m:num>
          <m:den>
            <m:r>
              <w:rPr>
                <w:rFonts w:ascii="Cambria Math" w:hAnsi="Cambria Math"/>
              </w:rPr>
              <m:t xml:space="preserve">dt</m:t>
            </m:r>
          </m:den>
        </m:f>
        <m:r>
          <w:rPr>
            <w:rFonts w:ascii="Cambria Math" w:hAnsi="Cambria Math"/>
          </w:rPr>
          <m:t xml:space="preserve">=</m:t>
        </m:r>
        <m:r>
          <w:rPr>
            <w:rFonts w:ascii="Cambria Math" w:hAnsi="Cambria Math"/>
          </w:rPr>
          <m:t xml:space="preserve">Φ</m:t>
        </m:r>
        <m:d>
          <m:dPr>
            <m:begChr m:val="("/>
            <m:endChr m:val=")"/>
          </m:dPr>
          <m:e>
            <m:r>
              <w:rPr>
                <w:rFonts w:ascii="Cambria Math" w:hAnsi="Cambria Math"/>
              </w:rPr>
              <m:t xml:space="preserve">T</m:t>
            </m:r>
            <m:r>
              <w:rPr>
                <w:rFonts w:ascii="Cambria Math" w:hAnsi="Cambria Math"/>
              </w:rPr>
              <m:t xml:space="preserve">,</m:t>
            </m:r>
            <m:r>
              <w:rPr>
                <w:rFonts w:ascii="Cambria Math" w:hAnsi="Cambria Math"/>
              </w:rPr>
              <m:t xml:space="preserve">α</m:t>
            </m:r>
          </m:e>
        </m:d>
      </m:oMath>
      <w:r>
        <w:rPr>
          <w:rFonts w:eastAsia="" w:ascii="Times New Roman" w:hAnsi="Times New Roman" w:eastAsiaTheme="minorEastAsia"/>
          <w:sz w:val="24"/>
          <w:szCs w:val="24"/>
        </w:rPr>
        <w:t xml:space="preserve">                                                                                                                      </w:t>
      </w:r>
      <w:r>
        <w:rPr>
          <w:rFonts w:eastAsia="" w:ascii="Times New Roman" w:hAnsi="Times New Roman" w:eastAsiaTheme="minorEastAsia"/>
          <w:sz w:val="24"/>
          <w:szCs w:val="24"/>
        </w:rPr>
        <w:t>(16)</w:t>
      </w:r>
    </w:p>
    <w:p>
      <w:pPr>
        <w:pStyle w:val="ListParagraph"/>
        <w:spacing w:lineRule="auto" w:line="360"/>
        <w:ind w:left="0" w:firstLine="1134"/>
        <w:jc w:val="both"/>
        <w:rPr>
          <w:rFonts w:ascii="Times New Roman" w:hAnsi="Times New Roman"/>
          <w:sz w:val="24"/>
          <w:szCs w:val="24"/>
        </w:rPr>
      </w:pPr>
      <w:r>
        <w:rPr>
          <w:rFonts w:ascii="Times New Roman" w:hAnsi="Times New Roman"/>
          <w:sz w:val="24"/>
          <w:szCs w:val="24"/>
        </w:rPr>
        <w:t>Onde T é temperatura e α é o grau de cristalinidade.</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Os métodos isoconversionais empregam a suposição que a função, da equação 16, pode ser expressa como um produto de duas funções independente uma da outra, a primeira é </w:t>
      </w:r>
      <w:r>
        <w:rPr>
          <w:rFonts w:cs="Times New Roman" w:ascii="Times New Roman" w:hAnsi="Times New Roman"/>
          <w:b/>
          <w:i/>
          <w:sz w:val="24"/>
          <w:szCs w:val="24"/>
        </w:rPr>
        <w:t>k(T)</w:t>
      </w:r>
      <w:r>
        <w:rPr>
          <w:rFonts w:cs="Times New Roman" w:ascii="Times New Roman" w:hAnsi="Times New Roman"/>
          <w:sz w:val="24"/>
          <w:szCs w:val="24"/>
        </w:rPr>
        <w:t xml:space="preserve">, constante que depende apenas da temperatura T e a outra </w:t>
      </w:r>
      <w:r>
        <w:rPr>
          <w:rFonts w:cs="Cambria Math" w:ascii="Cambria Math" w:hAnsi="Cambria Math"/>
          <w:sz w:val="24"/>
          <w:szCs w:val="24"/>
        </w:rPr>
        <w:t>𝑓</w:t>
      </w:r>
      <w:r>
        <w:rPr>
          <w:rFonts w:cs="Times New Roman" w:ascii="Times New Roman" w:hAnsi="Times New Roman"/>
          <w:sz w:val="24"/>
          <w:szCs w:val="24"/>
        </w:rPr>
        <w:t>(</w:t>
      </w:r>
      <w:r>
        <w:rPr>
          <w:rFonts w:cs="Cambria Math" w:ascii="Cambria Math" w:hAnsi="Cambria Math"/>
          <w:sz w:val="24"/>
          <w:szCs w:val="24"/>
        </w:rPr>
        <w:t>𝛼</w:t>
      </w:r>
      <w:r>
        <w:rPr>
          <w:rFonts w:cs="Times New Roman" w:ascii="Times New Roman" w:hAnsi="Times New Roman"/>
          <w:sz w:val="24"/>
          <w:szCs w:val="24"/>
        </w:rPr>
        <w:t>), variável que depende da conversão do processo.</w:t>
      </w:r>
    </w:p>
    <w:p>
      <w:pPr>
        <w:pStyle w:val="Normal"/>
        <w:spacing w:lineRule="auto" w:line="360" w:before="240" w:after="140"/>
        <w:ind w:firstLine="1134"/>
        <w:jc w:val="both"/>
        <w:rPr>
          <w:rFonts w:ascii="Times New Roman" w:hAnsi="Times New Roman" w:eastAsia="" w:cs="Times New Roman" w:eastAsiaTheme="minorEastAsia"/>
          <w:sz w:val="24"/>
          <w:szCs w:val="24"/>
        </w:rPr>
      </w:pPr>
      <w:r>
        <w:rPr/>
      </w:r>
      <m:oMath xmlns:m="http://schemas.openxmlformats.org/officeDocument/2006/math">
        <m:d>
          <m:dPr>
            <m:begChr m:val="("/>
            <m:endChr m:val=")"/>
          </m:dPr>
          <m:e>
            <m:r>
              <w:rPr>
                <w:rFonts w:ascii="Cambria Math" w:hAnsi="Cambria Math"/>
              </w:rPr>
              <m:t xml:space="preserve">T</m:t>
            </m:r>
            <m:r>
              <w:rPr>
                <w:rFonts w:ascii="Cambria Math" w:hAnsi="Cambria Math"/>
              </w:rPr>
              <m:t xml:space="preserve">,</m:t>
            </m:r>
            <m:r>
              <w:rPr>
                <w:rFonts w:ascii="Cambria Math" w:hAnsi="Cambria Math"/>
              </w:rPr>
              <m:t xml:space="preserve">α</m:t>
            </m:r>
          </m:e>
        </m:d>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T</m:t>
            </m:r>
          </m:e>
        </m:d>
        <m:r>
          <w:rPr>
            <w:rFonts w:ascii="Cambria Math" w:hAnsi="Cambria Math"/>
          </w:rPr>
          <m:t xml:space="preserve">f</m:t>
        </m:r>
        <m:d>
          <m:dPr>
            <m:begChr m:val="("/>
            <m:endChr m:val=")"/>
          </m:dPr>
          <m:e>
            <m:r>
              <w:rPr>
                <w:rFonts w:ascii="Cambria Math" w:hAnsi="Cambria Math"/>
              </w:rPr>
              <m:t xml:space="preserve">α</m:t>
            </m:r>
          </m:e>
        </m:d>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(17)</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Combinando as equações 17 e 18, podemos descrever, a taxa dos processos, por uma equação geral cinética:</w:t>
      </w:r>
    </w:p>
    <w:p>
      <w:pPr>
        <w:pStyle w:val="Normal"/>
        <w:spacing w:lineRule="auto" w:line="360" w:before="240" w:after="140"/>
        <w:ind w:firstLine="1134"/>
        <w:jc w:val="both"/>
        <w:rPr>
          <w:rFonts w:ascii="Times New Roman" w:hAnsi="Times New Roman" w:cs="Times New Roman"/>
          <w:sz w:val="24"/>
          <w:szCs w:val="24"/>
        </w:rPr>
      </w:pPr>
      <w:r>
        <w:rPr/>
      </w:r>
      <m:oMath xmlns:m="http://schemas.openxmlformats.org/officeDocument/2006/math">
        <m:f>
          <m:num>
            <m:r>
              <w:rPr>
                <w:rFonts w:ascii="Cambria Math" w:hAnsi="Cambria Math"/>
              </w:rPr>
              <m:t xml:space="preserve">d</m:t>
            </m:r>
            <m:r>
              <w:rPr>
                <w:rFonts w:ascii="Cambria Math" w:hAnsi="Cambria Math"/>
              </w:rPr>
              <m:t xml:space="preserve">α</m:t>
            </m:r>
          </m:num>
          <m:den>
            <m:r>
              <w:rPr>
                <w:rFonts w:ascii="Cambria Math" w:hAnsi="Cambria Math"/>
              </w:rPr>
              <m:t xml:space="preserve">dt</m:t>
            </m:r>
          </m:den>
        </m:f>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T</m:t>
            </m:r>
          </m:e>
        </m:d>
        <m:r>
          <w:rPr>
            <w:rFonts w:ascii="Cambria Math" w:hAnsi="Cambria Math"/>
          </w:rPr>
          <m:t xml:space="preserve">f</m:t>
        </m:r>
        <m:d>
          <m:dPr>
            <m:begChr m:val="("/>
            <m:endChr m:val=")"/>
          </m:dPr>
          <m:e>
            <m:r>
              <w:rPr>
                <w:rFonts w:ascii="Cambria Math" w:hAnsi="Cambria Math"/>
              </w:rPr>
              <m:t xml:space="preserve">α</m:t>
            </m:r>
          </m:e>
        </m:d>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(18)</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a função k(T) é usualmente considerada como sendo uma constante de taxa cristalização dependente da temperatura e </w:t>
      </w:r>
      <w:r>
        <w:rPr>
          <w:rFonts w:cs="Cambria Math" w:ascii="Cambria Math" w:hAnsi="Cambria Math"/>
          <w:sz w:val="24"/>
          <w:szCs w:val="24"/>
        </w:rPr>
        <w:t>𝑓</w:t>
      </w:r>
      <w:r>
        <w:rPr>
          <w:rFonts w:cs="Times New Roman" w:ascii="Times New Roman" w:hAnsi="Times New Roman"/>
          <w:sz w:val="24"/>
          <w:szCs w:val="24"/>
        </w:rPr>
        <w:t>(</w:t>
      </w:r>
      <w:r>
        <w:rPr>
          <w:rFonts w:cs="Cambria Math" w:ascii="Cambria Math" w:hAnsi="Cambria Math"/>
          <w:sz w:val="24"/>
          <w:szCs w:val="24"/>
        </w:rPr>
        <w:t>𝛼</w:t>
      </w:r>
      <w:r>
        <w:rPr>
          <w:rFonts w:cs="Times New Roman" w:ascii="Times New Roman" w:hAnsi="Times New Roman"/>
          <w:sz w:val="24"/>
          <w:szCs w:val="24"/>
        </w:rPr>
        <w:t xml:space="preserve">) uma função de conversão que reflete o mecanismo do processo (Šimon, 2004). </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Deve-se ter em mente que, devido à heterogeneidade, o grau de conversão para transformação de fase, tem aparentemente um significado físico diferente da concentração nas reações homogêneas. </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No caso da reação heterogênea no estado sólido, não existe tal quantidade física para caracterizar o estado do sistema reacional como ocorre na forma homogênea durante a reação, de modo que o grau de conversão “α”, normalizado de 0 a 1, é amplamente utilizado para a equação geral cinética.</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A vantagem de métodos isoconversionais é que não é necessário o conhecimento prévio dos mecanismos do processo.</w:t>
      </w:r>
    </w:p>
    <w:p>
      <w:pPr>
        <w:pStyle w:val="Normal"/>
        <w:spacing w:lineRule="auto" w:line="360" w:before="0" w:after="0"/>
        <w:ind w:firstLine="1134"/>
        <w:jc w:val="both"/>
        <w:rPr>
          <w:rFonts w:ascii="Times New Roman" w:hAnsi="Times New Roman" w:cs="Times New Roman"/>
          <w:color w:val="000000"/>
          <w:sz w:val="28"/>
          <w:szCs w:val="24"/>
        </w:rPr>
      </w:pPr>
      <w:r>
        <w:rPr>
          <w:rFonts w:cs="Times New Roman" w:ascii="Times New Roman" w:hAnsi="Times New Roman"/>
          <w:sz w:val="24"/>
        </w:rPr>
        <w:t xml:space="preserve">Pode-se descrever a </w:t>
      </w:r>
      <w:r>
        <w:rPr>
          <w:rFonts w:cs="Times New Roman" w:ascii="Times New Roman" w:hAnsi="Times New Roman"/>
          <w:sz w:val="24"/>
          <w:szCs w:val="24"/>
        </w:rPr>
        <w:t xml:space="preserve">constante de taxa de cristalização </w:t>
      </w:r>
      <w:r>
        <w:rPr>
          <w:rFonts w:cs="Times New Roman" w:ascii="Times New Roman" w:hAnsi="Times New Roman"/>
          <w:b/>
          <w:i/>
          <w:sz w:val="24"/>
          <w:szCs w:val="24"/>
        </w:rPr>
        <w:t>k</w:t>
      </w:r>
      <w:r>
        <w:rPr>
          <w:rFonts w:cs="Times New Roman" w:ascii="Times New Roman" w:hAnsi="Times New Roman"/>
          <w:sz w:val="24"/>
          <w:szCs w:val="24"/>
        </w:rPr>
        <w:t>,</w:t>
      </w:r>
      <w:r>
        <w:rPr>
          <w:rFonts w:cs="Times New Roman" w:ascii="Times New Roman" w:hAnsi="Times New Roman"/>
          <w:b/>
          <w:i/>
          <w:sz w:val="24"/>
          <w:szCs w:val="24"/>
        </w:rPr>
        <w:t xml:space="preserve"> </w:t>
      </w:r>
      <w:r>
        <w:rPr>
          <w:rFonts w:cs="Times New Roman" w:ascii="Times New Roman" w:hAnsi="Times New Roman"/>
          <w:sz w:val="24"/>
          <w:szCs w:val="24"/>
        </w:rPr>
        <w:t>dependente da temperatura (equação 18), pela</w:t>
      </w:r>
      <w:r>
        <w:rPr>
          <w:rFonts w:cs="Times New Roman" w:ascii="Times New Roman" w:hAnsi="Times New Roman"/>
          <w:sz w:val="24"/>
        </w:rPr>
        <w:t xml:space="preserve"> lei de Arrhenius, a </w:t>
      </w:r>
      <w:r>
        <w:rPr>
          <w:rFonts w:cs="Times New Roman" w:ascii="Times New Roman" w:hAnsi="Times New Roman"/>
          <w:sz w:val="24"/>
          <w:szCs w:val="24"/>
        </w:rPr>
        <w:t xml:space="preserve">qual foi empregada, de modo sucedida, e derivada para cinéticas homogêneas </w:t>
      </w:r>
      <w:r>
        <w:rPr>
          <w:rFonts w:cs="Times New Roman" w:ascii="Times New Roman" w:hAnsi="Times New Roman"/>
          <w:color w:val="000000"/>
          <w:sz w:val="24"/>
          <w:szCs w:val="24"/>
        </w:rPr>
        <w:t>(</w:t>
      </w:r>
      <w:r>
        <w:rPr>
          <w:rFonts w:eastAsia="TimesNewRomanPSMT" w:cs="Times New Roman" w:ascii="Times New Roman" w:hAnsi="Times New Roman"/>
          <w:color w:val="231F20"/>
          <w:sz w:val="24"/>
          <w:szCs w:val="24"/>
        </w:rPr>
        <w:t>Š</w:t>
      </w:r>
      <w:r>
        <w:rPr>
          <w:rFonts w:cs="Times New Roman" w:ascii="Times New Roman" w:hAnsi="Times New Roman"/>
          <w:color w:val="231F20"/>
          <w:sz w:val="24"/>
          <w:szCs w:val="24"/>
        </w:rPr>
        <w:t>esták, 1971</w:t>
      </w:r>
      <w:r>
        <w:rPr>
          <w:rFonts w:cs="Times New Roman" w:ascii="Times New Roman" w:hAnsi="Times New Roman"/>
          <w:color w:val="000000"/>
          <w:sz w:val="24"/>
          <w:szCs w:val="24"/>
        </w:rPr>
        <w:t>).</w:t>
      </w:r>
    </w:p>
    <w:p>
      <w:pPr>
        <w:pStyle w:val="Normal"/>
        <w:spacing w:lineRule="auto" w:line="360" w:before="240" w:after="140"/>
        <w:ind w:firstLine="1134"/>
        <w:jc w:val="both"/>
        <w:rPr>
          <w:rFonts w:ascii="Times New Roman" w:hAnsi="Times New Roman" w:cs="Times New Roman"/>
          <w:sz w:val="24"/>
          <w:szCs w:val="24"/>
        </w:rPr>
      </w:pPr>
      <w:r>
        <w:rPr/>
      </w:r>
      <m:oMath xmlns:m="http://schemas.openxmlformats.org/officeDocument/2006/math">
        <m:r>
          <w:rPr>
            <w:rFonts w:ascii="Cambria Math" w:hAnsi="Cambria Math"/>
          </w:rPr>
          <m:t xml:space="preserve">k</m:t>
        </m:r>
        <m:d>
          <m:dPr>
            <m:begChr m:val="("/>
            <m:endChr m:val=")"/>
          </m:dPr>
          <m:e>
            <m:r>
              <w:rPr>
                <w:rFonts w:ascii="Cambria Math" w:hAnsi="Cambria Math"/>
              </w:rPr>
              <m:t xml:space="preserve">T</m:t>
            </m:r>
          </m:e>
        </m:d>
        <m:r>
          <w:rPr>
            <w:rFonts w:ascii="Cambria Math" w:hAnsi="Cambria Math"/>
          </w:rPr>
          <m:t xml:space="preserve">=</m:t>
        </m:r>
        <m:r>
          <w:rPr>
            <w:rFonts w:ascii="Cambria Math" w:hAnsi="Cambria Math"/>
          </w:rPr>
          <m:t xml:space="preserve">Aexp</m:t>
        </m:r>
        <m:d>
          <m:dPr>
            <m:begChr m:val="("/>
            <m:endChr m:val=")"/>
          </m:dPr>
          <m:e>
            <m:f>
              <m:num>
                <m:r>
                  <w:rPr>
                    <w:rFonts w:ascii="Cambria Math" w:hAnsi="Cambria Math"/>
                  </w:rPr>
                  <m:t xml:space="preserve">−</m:t>
                </m:r>
                <m:r>
                  <w:rPr>
                    <w:rFonts w:ascii="Cambria Math" w:hAnsi="Cambria Math"/>
                  </w:rPr>
                  <m:t xml:space="preserve">Ea</m:t>
                </m:r>
              </m:num>
              <m:den>
                <m:r>
                  <w:rPr>
                    <w:rFonts w:ascii="Cambria Math" w:hAnsi="Cambria Math"/>
                  </w:rPr>
                  <m:t xml:space="preserve">RT</m:t>
                </m:r>
              </m:den>
            </m:f>
          </m:e>
        </m:d>
      </m:oMath>
      <w:r>
        <w:rPr>
          <w:rFonts w:cs="Times New Roman" w:ascii="Times New Roman" w:hAnsi="Times New Roman"/>
          <w:sz w:val="24"/>
          <w:szCs w:val="24"/>
        </w:rPr>
        <w:t xml:space="preserve">                                                                                                               </w:t>
      </w:r>
      <w:r>
        <w:rPr>
          <w:rFonts w:cs="Times New Roman" w:ascii="Times New Roman" w:hAnsi="Times New Roman"/>
          <w:sz w:val="24"/>
          <w:szCs w:val="24"/>
        </w:rPr>
        <w:t>(19)</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w:t>
      </w:r>
      <w:r>
        <w:rPr>
          <w:rFonts w:cs="Times New Roman" w:ascii="Times New Roman" w:hAnsi="Times New Roman"/>
          <w:b/>
          <w:i/>
          <w:sz w:val="24"/>
          <w:szCs w:val="24"/>
        </w:rPr>
        <w:t>k</w:t>
      </w:r>
      <w:r>
        <w:rPr>
          <w:rFonts w:cs="Times New Roman" w:ascii="Times New Roman" w:hAnsi="Times New Roman"/>
          <w:sz w:val="24"/>
          <w:szCs w:val="24"/>
        </w:rPr>
        <w:t xml:space="preserve"> é a taxa de cristalização dependente da temperatura.</w:t>
      </w:r>
    </w:p>
    <w:p>
      <w:pPr>
        <w:pStyle w:val="Normal"/>
        <w:spacing w:lineRule="auto" w:line="360" w:before="0" w:after="0"/>
        <w:ind w:firstLine="1134"/>
        <w:jc w:val="both"/>
        <w:rPr>
          <w:color w:val="4472C4" w:themeColor="accent1"/>
          <w:sz w:val="23"/>
          <w:szCs w:val="23"/>
        </w:rPr>
      </w:pPr>
      <w:r>
        <w:rPr>
          <w:rFonts w:cs="Times New Roman" w:ascii="Times New Roman" w:hAnsi="Times New Roman"/>
          <w:sz w:val="24"/>
          <w:szCs w:val="24"/>
        </w:rPr>
        <w:t>O método</w:t>
      </w:r>
      <w:r>
        <w:rPr>
          <w:rFonts w:cs="Times New Roman" w:ascii="Times New Roman" w:hAnsi="Times New Roman"/>
          <w:sz w:val="24"/>
          <w:szCs w:val="23"/>
        </w:rPr>
        <w:t xml:space="preserve"> de Friedman (método </w:t>
      </w:r>
      <w:r>
        <w:rPr>
          <w:rFonts w:cs="Times New Roman" w:ascii="Times New Roman" w:hAnsi="Times New Roman"/>
          <w:sz w:val="24"/>
          <w:szCs w:val="24"/>
        </w:rPr>
        <w:t>isoconversional diferencial linear)</w:t>
      </w:r>
      <w:r>
        <w:rPr>
          <w:rFonts w:cs="Times New Roman" w:ascii="Times New Roman" w:hAnsi="Times New Roman"/>
          <w:sz w:val="24"/>
          <w:szCs w:val="23"/>
        </w:rPr>
        <w:t>, permite analisar</w:t>
      </w:r>
      <w:r>
        <w:rPr>
          <w:rFonts w:cs="Times New Roman" w:ascii="Times New Roman" w:hAnsi="Times New Roman"/>
          <w:sz w:val="24"/>
          <w:szCs w:val="24"/>
          <w:shd w:fill="FFFFFF" w:val="clear"/>
        </w:rPr>
        <w:t xml:space="preserve"> a cinética de cura por meio da energia de ativação durante a variação da temperatura e utiliza esta dependência para calcular os parâmetros cinéticos.</w:t>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t>A equação 20 mostra a forma genérica do método de Friedman.</w:t>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r>
    </w:p>
    <w:p>
      <w:pPr>
        <w:pStyle w:val="Normal"/>
        <w:spacing w:lineRule="auto" w:line="360" w:before="0" w:after="0"/>
        <w:ind w:firstLine="1134"/>
        <w:jc w:val="both"/>
        <w:rPr>
          <w:rFonts w:ascii="Times New Roman" w:hAnsi="Times New Roman" w:eastAsia="" w:cs="Times New Roman" w:eastAsiaTheme="minorEastAsia"/>
          <w:color w:val="4472C4" w:themeColor="accent1"/>
          <w:sz w:val="24"/>
          <w:szCs w:val="24"/>
        </w:rPr>
      </w:pPr>
      <w:r>
        <w:rPr>
          <w:rFonts w:cs="Times New Roman" w:ascii="Times New Roman" w:hAnsi="Times New Roman"/>
          <w:sz w:val="24"/>
          <w:szCs w:val="24"/>
        </w:rPr>
        <w:t xml:space="preserve"> </w:t>
      </w:r>
      <w:r>
        <w:rPr/>
      </w:r>
      <m:oMath xmlns:m="http://schemas.openxmlformats.org/officeDocument/2006/math">
        <m:sSub>
          <m:e>
            <m:d>
              <m:dPr>
                <m:begChr m:val="("/>
                <m:endChr m:val=")"/>
              </m:dPr>
              <m:e>
                <m:f>
                  <m:num>
                    <m:r>
                      <w:rPr>
                        <w:rFonts w:ascii="Cambria Math" w:hAnsi="Cambria Math"/>
                      </w:rPr>
                      <m:t xml:space="preserve">dα</m:t>
                    </m:r>
                  </m:num>
                  <m:den>
                    <m:r>
                      <w:rPr>
                        <w:rFonts w:ascii="Cambria Math" w:hAnsi="Cambria Math"/>
                      </w:rPr>
                      <m:t xml:space="preserve">dt</m:t>
                    </m:r>
                  </m:den>
                </m:f>
              </m:e>
            </m:d>
          </m:e>
          <m:sub>
            <m:r>
              <w:rPr>
                <w:rFonts w:ascii="Cambria Math" w:hAnsi="Cambria Math"/>
              </w:rPr>
              <m:t xml:space="preserve">α</m:t>
            </m:r>
          </m:sub>
        </m:sSub>
        <m:r>
          <w:rPr>
            <w:rFonts w:ascii="Cambria Math" w:hAnsi="Cambria Math"/>
          </w:rPr>
          <m:t xml:space="preserve">=</m:t>
        </m:r>
        <m:sSub>
          <m:e>
            <m:d>
              <m:dPr>
                <m:begChr m:val="("/>
                <m:endChr m:val=")"/>
              </m:dPr>
              <m:e>
                <m:r>
                  <w:rPr>
                    <w:rFonts w:ascii="Cambria Math" w:hAnsi="Cambria Math"/>
                  </w:rPr>
                  <m:t xml:space="preserve">β</m:t>
                </m:r>
                <m:f>
                  <m:num>
                    <m:r>
                      <w:rPr>
                        <w:rFonts w:ascii="Cambria Math" w:hAnsi="Cambria Math"/>
                      </w:rPr>
                      <m:t xml:space="preserve">dα</m:t>
                    </m:r>
                  </m:num>
                  <m:den>
                    <m:r>
                      <w:rPr>
                        <w:rFonts w:ascii="Cambria Math" w:hAnsi="Cambria Math"/>
                      </w:rPr>
                      <m:t xml:space="preserve">dT</m:t>
                    </m:r>
                  </m:den>
                </m:f>
              </m:e>
            </m:d>
          </m:e>
          <m:sub>
            <m:r>
              <w:rPr>
                <w:rFonts w:ascii="Cambria Math" w:hAnsi="Cambria Math"/>
              </w:rPr>
              <m:t xml:space="preserve">α</m:t>
            </m:r>
          </m:sub>
        </m:sSub>
        <m:r>
          <w:rPr>
            <w:rFonts w:ascii="Cambria Math" w:hAnsi="Cambria Math"/>
          </w:rPr>
          <m:t xml:space="preserve">=</m:t>
        </m:r>
        <m:d>
          <m:dPr>
            <m:begChr m:val="["/>
            <m:endChr m:val="]"/>
          </m:dPr>
          <m:e>
            <m:sSub>
              <m:e>
                <m:r>
                  <w:rPr>
                    <w:rFonts w:ascii="Cambria Math" w:hAnsi="Cambria Math"/>
                  </w:rPr>
                  <m:t xml:space="preserve">A</m:t>
                </m:r>
              </m:e>
              <m:sub>
                <m:r>
                  <w:rPr>
                    <w:rFonts w:ascii="Cambria Math" w:hAnsi="Cambria Math"/>
                  </w:rPr>
                  <m:t xml:space="preserve">k</m:t>
                </m:r>
              </m:sub>
            </m:sSub>
            <m:r>
              <w:rPr>
                <w:rFonts w:ascii="Cambria Math" w:hAnsi="Cambria Math"/>
              </w:rPr>
              <m:t xml:space="preserve">f</m:t>
            </m:r>
            <m:d>
              <m:dPr>
                <m:begChr m:val="("/>
                <m:endChr m:val=")"/>
              </m:dPr>
              <m:e>
                <m:r>
                  <w:rPr>
                    <w:rFonts w:ascii="Cambria Math" w:hAnsi="Cambria Math"/>
                  </w:rPr>
                  <m:t xml:space="preserve">α</m:t>
                </m:r>
              </m:e>
            </m:d>
          </m:e>
        </m:d>
        <m:r>
          <w:rPr>
            <w:rFonts w:ascii="Cambria Math" w:hAnsi="Cambria Math"/>
          </w:rPr>
          <m:t xml:space="preserve">exp</m:t>
        </m:r>
        <m:d>
          <m:dPr>
            <m:begChr m:val="["/>
            <m:endChr m:val="]"/>
          </m:dPr>
          <m:e>
            <m:f>
              <m:num>
                <m:r>
                  <w:rPr>
                    <w:rFonts w:ascii="Cambria Math" w:hAnsi="Cambria Math"/>
                  </w:rPr>
                  <m:t xml:space="preserve">−</m:t>
                </m:r>
                <m:r>
                  <w:rPr>
                    <w:rFonts w:ascii="Cambria Math" w:hAnsi="Cambria Math"/>
                  </w:rPr>
                  <m:t xml:space="preserve">E</m:t>
                </m:r>
              </m:num>
              <m:den>
                <m:r>
                  <w:rPr>
                    <w:rFonts w:ascii="Cambria Math" w:hAnsi="Cambria Math"/>
                  </w:rPr>
                  <m:t xml:space="preserve">R</m:t>
                </m:r>
                <m:sSub>
                  <m:e>
                    <m:r>
                      <w:rPr>
                        <w:rFonts w:ascii="Cambria Math" w:hAnsi="Cambria Math"/>
                      </w:rPr>
                      <m:t xml:space="preserve">T</m:t>
                    </m:r>
                  </m:e>
                  <m:sub>
                    <m:r>
                      <w:rPr>
                        <w:rFonts w:ascii="Cambria Math" w:hAnsi="Cambria Math"/>
                      </w:rPr>
                      <m:t xml:space="preserve">α</m:t>
                    </m:r>
                  </m:sub>
                </m:sSub>
              </m:den>
            </m:f>
          </m:e>
        </m:d>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color w:val="4472C4" w:themeColor="accent1"/>
          <w:sz w:val="24"/>
          <w:szCs w:val="24"/>
        </w:rPr>
        <w:t xml:space="preserve"> </w:t>
      </w:r>
      <w:r>
        <w:rPr>
          <w:rFonts w:eastAsia="" w:cs="Times New Roman" w:ascii="Times New Roman" w:hAnsi="Times New Roman" w:eastAsiaTheme="minorEastAsia"/>
          <w:b/>
          <w:sz w:val="24"/>
          <w:szCs w:val="24"/>
        </w:rPr>
        <w:t>(Equação de Friedman)</w:t>
      </w:r>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color w:val="4472C4" w:themeColor="accent1"/>
          <w:sz w:val="24"/>
          <w:szCs w:val="24"/>
        </w:rPr>
        <w:t xml:space="preserve">      </w:t>
      </w:r>
      <w:r>
        <w:rPr>
          <w:rFonts w:eastAsia="" w:cs="Times New Roman" w:ascii="Times New Roman" w:hAnsi="Times New Roman" w:eastAsiaTheme="minorEastAsia"/>
          <w:sz w:val="24"/>
          <w:szCs w:val="24"/>
        </w:rPr>
        <w:t>(20)</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Onde:</w:t>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t>β é a taxa de aquecimento,</w:t>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t xml:space="preserve">α é a taxa na conversão fixa </w:t>
      </w:r>
      <w:r>
        <w:rPr>
          <w:rFonts w:cs="Times-Roman" w:ascii="Times-Roman" w:hAnsi="Times-Roman"/>
          <w:sz w:val="24"/>
          <w:szCs w:val="24"/>
        </w:rPr>
        <w:t>(</w:t>
      </w:r>
      <w:r>
        <w:rPr>
          <w:rFonts w:eastAsia="TimesNewRomanPSMT" w:cs="TimesNewRomanPSMT" w:ascii="TimesNewRomanPSMT" w:hAnsi="TimesNewRomanPSMT"/>
          <w:sz w:val="25"/>
          <w:szCs w:val="25"/>
        </w:rPr>
        <w:t>Š</w:t>
      </w:r>
      <w:r>
        <w:rPr>
          <w:rFonts w:cs="Times-Roman" w:ascii="Times-Roman" w:hAnsi="Times-Roman"/>
          <w:sz w:val="25"/>
          <w:szCs w:val="25"/>
        </w:rPr>
        <w:t>imon, 2004).</w:t>
      </w:r>
      <w:r>
        <w:rPr>
          <w:rFonts w:cs="Times New Roman" w:ascii="Times New Roman" w:hAnsi="Times New Roman"/>
          <w:sz w:val="24"/>
          <w:szCs w:val="23"/>
        </w:rPr>
        <w:t xml:space="preserve"> </w:t>
      </w:r>
    </w:p>
    <w:p>
      <w:pPr>
        <w:pStyle w:val="Normal"/>
        <w:spacing w:lineRule="auto" w:line="360" w:before="0" w:after="0"/>
        <w:ind w:firstLine="1134"/>
        <w:jc w:val="both"/>
        <w:rPr>
          <w:rFonts w:ascii="Times-Roman" w:hAnsi="Times-Roman" w:cs="Times-Roman"/>
          <w:sz w:val="24"/>
          <w:szCs w:val="24"/>
        </w:rPr>
      </w:pPr>
      <w:r>
        <w:rPr>
          <w:rFonts w:cs="Times-Roman" w:ascii="Times-Roman" w:hAnsi="Times-Roman"/>
          <w:sz w:val="24"/>
          <w:szCs w:val="24"/>
        </w:rPr>
        <w:t>Com uma transformação logarítmica da equação 20, chegamos na equação lineal 21.</w:t>
      </w:r>
    </w:p>
    <w:p>
      <w:pPr>
        <w:pStyle w:val="Normal"/>
        <w:spacing w:lineRule="auto" w:line="360" w:before="0" w:after="0"/>
        <w:ind w:firstLine="1134"/>
        <w:jc w:val="both"/>
        <w:rPr>
          <w:rFonts w:ascii="Times-Roman" w:hAnsi="Times-Roman" w:cs="Times-Roman"/>
          <w:sz w:val="24"/>
          <w:szCs w:val="24"/>
        </w:rPr>
      </w:pPr>
      <w:r>
        <w:rPr>
          <w:rFonts w:cs="Times-Roman" w:ascii="Times-Roman" w:hAnsi="Times-Roman"/>
          <w:sz w:val="24"/>
          <w:szCs w:val="24"/>
        </w:rPr>
      </w:r>
    </w:p>
    <w:p>
      <w:pPr>
        <w:pStyle w:val="Normal"/>
        <w:spacing w:lineRule="auto" w:line="360"/>
        <w:ind w:firstLine="1134"/>
        <w:jc w:val="both"/>
        <w:rPr>
          <w:rFonts w:ascii="Times-Italic" w:hAnsi="Times-Italic" w:eastAsia="" w:cs="Times-Italic" w:eastAsiaTheme="minorEastAsia"/>
          <w:sz w:val="24"/>
          <w:szCs w:val="24"/>
        </w:rPr>
      </w:pPr>
      <w:r>
        <w:rPr/>
      </w:r>
      <m:oMath xmlns:m="http://schemas.openxmlformats.org/officeDocument/2006/math">
        <m:r>
          <w:rPr>
            <w:rFonts w:ascii="Cambria Math" w:hAnsi="Cambria Math"/>
          </w:rPr>
          <m:t xml:space="preserve">ln</m:t>
        </m:r>
        <m:d>
          <m:dPr>
            <m:begChr m:val="("/>
            <m:endChr m:val=")"/>
          </m:dPr>
          <m:e>
            <m:f>
              <m:num>
                <m:r>
                  <w:rPr>
                    <w:rFonts w:ascii="Cambria Math" w:hAnsi="Cambria Math"/>
                  </w:rPr>
                  <m:t xml:space="preserve">dα</m:t>
                </m:r>
              </m:num>
              <m:den>
                <m:r>
                  <w:rPr>
                    <w:rFonts w:ascii="Cambria Math" w:hAnsi="Cambria Math"/>
                  </w:rPr>
                  <m:t xml:space="preserve">dt</m:t>
                </m:r>
              </m:den>
            </m:f>
          </m:e>
        </m:d>
        <m:r>
          <w:rPr>
            <w:rFonts w:ascii="Cambria Math" w:hAnsi="Cambria Math"/>
          </w:rPr>
          <m:t xml:space="preserve">=</m:t>
        </m:r>
        <m:r>
          <w:rPr>
            <w:rFonts w:ascii="Cambria Math" w:hAnsi="Cambria Math"/>
          </w:rPr>
          <m:t xml:space="preserve">ln</m:t>
        </m:r>
        <m:r>
          <w:rPr>
            <w:rFonts w:ascii="Cambria Math" w:hAnsi="Cambria Math"/>
          </w:rPr>
          <m:t xml:space="preserve">⁡</m:t>
        </m:r>
        <m:r>
          <w:rPr>
            <w:rFonts w:ascii="Cambria Math" w:hAnsi="Cambria Math"/>
          </w:rPr>
          <m:t xml:space="preserve">{</m:t>
        </m:r>
        <m:d>
          <m:dPr>
            <m:begChr m:val="["/>
            <m:endChr m:val="]"/>
          </m:dPr>
          <m:e>
            <m:sSub>
              <m:e>
                <m:r>
                  <w:rPr>
                    <w:rFonts w:ascii="Cambria Math" w:hAnsi="Cambria Math"/>
                  </w:rPr>
                  <m:t xml:space="preserve">A</m:t>
                </m:r>
              </m:e>
              <m:sub>
                <m:r>
                  <w:rPr>
                    <w:rFonts w:ascii="Cambria Math" w:hAnsi="Cambria Math"/>
                  </w:rPr>
                  <m:t xml:space="preserve">k</m:t>
                </m:r>
              </m:sub>
            </m:sSub>
            <m:r>
              <w:rPr>
                <w:rFonts w:ascii="Cambria Math" w:hAnsi="Cambria Math"/>
              </w:rPr>
              <m:t xml:space="preserve">f</m:t>
            </m:r>
            <m:d>
              <m:dPr>
                <m:begChr m:val="("/>
                <m:endChr m:val=")"/>
              </m:dPr>
              <m:e>
                <m:r>
                  <w:rPr>
                    <w:rFonts w:ascii="Cambria Math" w:hAnsi="Cambria Math"/>
                  </w:rPr>
                  <m:t xml:space="preserve">α</m:t>
                </m:r>
              </m:e>
            </m:d>
          </m:e>
        </m:d>
        <m:r>
          <w:rPr>
            <w:rFonts w:ascii="Cambria Math" w:hAnsi="Cambria Math"/>
          </w:rPr>
          <m:t xml:space="preserve">exp</m:t>
        </m:r>
        <m:d>
          <m:dPr>
            <m:begChr m:val="["/>
            <m:endChr m:val="]"/>
          </m:dPr>
          <m:e>
            <m:f>
              <m:num>
                <m:r>
                  <w:rPr>
                    <w:rFonts w:ascii="Cambria Math" w:hAnsi="Cambria Math"/>
                  </w:rPr>
                  <m:t xml:space="preserve">−</m:t>
                </m:r>
                <m:r>
                  <w:rPr>
                    <w:rFonts w:ascii="Cambria Math" w:hAnsi="Cambria Math"/>
                  </w:rPr>
                  <m:t xml:space="preserve">E</m:t>
                </m:r>
              </m:num>
              <m:den>
                <m:r>
                  <w:rPr>
                    <w:rFonts w:ascii="Cambria Math" w:hAnsi="Cambria Math"/>
                  </w:rPr>
                  <m:t xml:space="preserve">R</m:t>
                </m:r>
                <m:sSub>
                  <m:e>
                    <m:r>
                      <w:rPr>
                        <w:rFonts w:ascii="Cambria Math" w:hAnsi="Cambria Math"/>
                      </w:rPr>
                      <m:t xml:space="preserve">T</m:t>
                    </m:r>
                  </m:e>
                  <m:sub>
                    <m:r>
                      <w:rPr>
                        <w:rFonts w:ascii="Cambria Math" w:hAnsi="Cambria Math"/>
                      </w:rPr>
                      <m:t xml:space="preserve">α</m:t>
                    </m:r>
                  </m:sub>
                </m:sSub>
              </m:den>
            </m:f>
          </m:e>
        </m:d>
        <m:r>
          <w:rPr>
            <w:rFonts w:ascii="Cambria Math" w:hAnsi="Cambria Math"/>
          </w:rPr>
          <m:t xml:space="preserve">}</m:t>
        </m:r>
      </m:oMath>
      <w:r>
        <w:rPr>
          <w:rFonts w:eastAsia="" w:cs="Times-Italic" w:ascii="Times-Italic" w:hAnsi="Times-Italic" w:eastAsiaTheme="minorEastAsia"/>
          <w:i/>
          <w:sz w:val="24"/>
          <w:szCs w:val="24"/>
        </w:rPr>
        <w:t xml:space="preserve"> </w:t>
      </w:r>
      <w:r>
        <w:rPr>
          <w:rFonts w:eastAsia="" w:cs="Times-Italic" w:ascii="Times-Italic" w:hAnsi="Times-Italic" w:eastAsiaTheme="minorEastAsia"/>
          <w:sz w:val="24"/>
          <w:szCs w:val="24"/>
        </w:rPr>
        <w:t xml:space="preserve">   </w:t>
      </w:r>
    </w:p>
    <w:p>
      <w:pPr>
        <w:pStyle w:val="Normal"/>
        <w:spacing w:lineRule="auto" w:line="360" w:before="0" w:after="0"/>
        <w:ind w:firstLine="1134"/>
        <w:jc w:val="both"/>
        <w:rPr>
          <w:rFonts w:ascii="Times-Italic" w:hAnsi="Times-Italic" w:eastAsia="" w:cs="Times-Italic" w:eastAsiaTheme="minorEastAsia"/>
          <w:i/>
          <w:i/>
          <w:sz w:val="24"/>
          <w:szCs w:val="24"/>
        </w:rPr>
      </w:pPr>
      <w:r>
        <w:rPr>
          <w:rFonts w:eastAsia="" w:cs="Times-Italic" w:ascii="Times-Italic" w:hAnsi="Times-Italic" w:eastAsiaTheme="minorEastAsia"/>
          <w:sz w:val="24"/>
          <w:szCs w:val="24"/>
        </w:rPr>
        <w:t>l</w:t>
      </w:r>
      <w:r>
        <w:rPr/>
      </w:r>
      <m:oMath xmlns:m="http://schemas.openxmlformats.org/officeDocument/2006/math">
        <m:r>
          <w:rPr>
            <w:rFonts w:ascii="Cambria Math" w:hAnsi="Cambria Math"/>
          </w:rPr>
          <m:t xml:space="preserve">n</m:t>
        </m:r>
        <m:d>
          <m:dPr>
            <m:begChr m:val="("/>
            <m:endChr m:val=")"/>
          </m:dPr>
          <m:e>
            <m:f>
              <m:num>
                <m:r>
                  <w:rPr>
                    <w:rFonts w:ascii="Cambria Math" w:hAnsi="Cambria Math"/>
                  </w:rPr>
                  <m:t xml:space="preserve">dα</m:t>
                </m:r>
              </m:num>
              <m:den>
                <m:r>
                  <w:rPr>
                    <w:rFonts w:ascii="Cambria Math" w:hAnsi="Cambria Math"/>
                  </w:rPr>
                  <m:t xml:space="preserve">dt</m:t>
                </m:r>
              </m:den>
            </m:f>
          </m:e>
        </m:d>
        <m:r>
          <w:rPr>
            <w:rFonts w:ascii="Cambria Math" w:hAnsi="Cambria Math"/>
          </w:rPr>
          <m:t xml:space="preserve">=</m:t>
        </m:r>
        <m:r>
          <w:rPr>
            <w:rFonts w:ascii="Cambria Math" w:hAnsi="Cambria Math"/>
          </w:rPr>
          <m:t xml:space="preserve">ln</m:t>
        </m:r>
        <m:r>
          <w:rPr>
            <w:rFonts w:ascii="Cambria Math" w:hAnsi="Cambria Math"/>
          </w:rPr>
          <m:t xml:space="preserve">⁡</m:t>
        </m:r>
        <m:d>
          <m:dPr>
            <m:begChr m:val="["/>
            <m:endChr m:val="]"/>
          </m:dPr>
          <m:e>
            <m:sSub>
              <m:e>
                <m:r>
                  <w:rPr>
                    <w:rFonts w:ascii="Cambria Math" w:hAnsi="Cambria Math"/>
                  </w:rPr>
                  <m:t xml:space="preserve">A</m:t>
                </m:r>
              </m:e>
              <m:sub>
                <m:r>
                  <w:rPr>
                    <w:rFonts w:ascii="Cambria Math" w:hAnsi="Cambria Math"/>
                  </w:rPr>
                  <m:t xml:space="preserve">k</m:t>
                </m:r>
              </m:sub>
            </m:sSub>
            <m:r>
              <w:rPr>
                <w:rFonts w:ascii="Cambria Math" w:hAnsi="Cambria Math"/>
              </w:rPr>
              <m:t xml:space="preserve">f</m:t>
            </m:r>
            <m:d>
              <m:dPr>
                <m:begChr m:val="("/>
                <m:endChr m:val=")"/>
              </m:dPr>
              <m:e>
                <m:r>
                  <w:rPr>
                    <w:rFonts w:ascii="Cambria Math" w:hAnsi="Cambria Math"/>
                  </w:rPr>
                  <m:t xml:space="preserve">α</m:t>
                </m:r>
              </m:e>
            </m:d>
          </m:e>
        </m:d>
        <m:r>
          <w:rPr>
            <w:rFonts w:ascii="Cambria Math" w:hAnsi="Cambria Math"/>
          </w:rPr>
          <m:t xml:space="preserve">−</m:t>
        </m:r>
        <m:f>
          <m:num>
            <m:r>
              <w:rPr>
                <w:rFonts w:ascii="Cambria Math" w:hAnsi="Cambria Math"/>
              </w:rPr>
              <m:t xml:space="preserve">E</m:t>
            </m:r>
          </m:num>
          <m:den>
            <m:r>
              <w:rPr>
                <w:rFonts w:ascii="Cambria Math" w:hAnsi="Cambria Math"/>
              </w:rPr>
              <m:t xml:space="preserve">RT</m:t>
            </m:r>
          </m:den>
        </m:f>
      </m:oMath>
      <w:r>
        <w:rPr>
          <w:rFonts w:eastAsia="" w:cs="Times-Italic" w:ascii="Times-Italic" w:hAnsi="Times-Italic" w:eastAsiaTheme="minorEastAsia"/>
          <w:i/>
          <w:sz w:val="24"/>
          <w:szCs w:val="24"/>
        </w:rPr>
        <w:t xml:space="preserve"> </w:t>
      </w:r>
    </w:p>
    <w:p>
      <w:pPr>
        <w:pStyle w:val="Normal"/>
        <w:spacing w:lineRule="auto" w:line="360" w:before="0" w:after="0"/>
        <w:jc w:val="both"/>
        <w:rPr>
          <w:rFonts w:ascii="Times New Roman" w:hAnsi="Times New Roman" w:cs="Times New Roman"/>
          <w:iCs/>
          <w:sz w:val="24"/>
          <w:szCs w:val="24"/>
        </w:rPr>
      </w:pPr>
      <w:r>
        <w:rPr>
          <w:rFonts w:cs="Times New Roman" w:ascii="Times New Roman" w:hAnsi="Times New Roman"/>
          <w:iCs/>
          <w:sz w:val="24"/>
          <w:szCs w:val="24"/>
        </w:rPr>
      </w:r>
    </w:p>
    <w:p>
      <w:pPr>
        <w:pStyle w:val="Normal"/>
        <w:spacing w:lineRule="auto" w:line="360" w:before="0" w:after="0"/>
        <w:jc w:val="both"/>
        <w:rPr>
          <w:rFonts w:ascii="Times New Roman" w:hAnsi="Times New Roman" w:eastAsia="" w:cs="Times New Roman" w:eastAsiaTheme="minorEastAsia"/>
          <w:sz w:val="24"/>
          <w:szCs w:val="24"/>
        </w:rPr>
      </w:pPr>
      <w:r>
        <w:rPr>
          <w:rFonts w:cs="Times New Roman" w:ascii="Times New Roman" w:hAnsi="Times New Roman"/>
          <w:iCs/>
          <w:sz w:val="24"/>
          <w:szCs w:val="24"/>
        </w:rPr>
        <w:t>Considerando ln(</w:t>
      </w:r>
      <w:r>
        <w:rPr/>
      </w:r>
      <m:oMath xmlns:m="http://schemas.openxmlformats.org/officeDocument/2006/math"/>
      <w:r>
        <w:rPr>
          <w:rFonts w:eastAsia="" w:cs="Times New Roman" w:ascii="Times New Roman" w:hAnsi="Times New Roman" w:eastAsiaTheme="minorEastAsia"/>
          <w:sz w:val="24"/>
          <w:szCs w:val="24"/>
        </w:rPr>
        <w:t>] uma constante qualquer - C</w:t>
      </w:r>
    </w:p>
    <w:p>
      <w:pPr>
        <w:pStyle w:val="Normal"/>
        <w:spacing w:lineRule="auto" w:line="360" w:before="0" w:after="0"/>
        <w:jc w:val="both"/>
        <w:rPr>
          <w:rFonts w:ascii="Times-Italic" w:hAnsi="Times-Italic" w:eastAsia="" w:cs="Times-Italic" w:eastAsiaTheme="minorEastAsia"/>
          <w:sz w:val="24"/>
          <w:szCs w:val="24"/>
        </w:rPr>
      </w:pPr>
      <w:r>
        <w:rPr>
          <w:rFonts w:eastAsia="" w:cs="Times-Italic" w:eastAsiaTheme="minorEastAsia" w:ascii="Times-Italic" w:hAnsi="Times-Italic"/>
          <w:sz w:val="24"/>
          <w:szCs w:val="24"/>
        </w:rPr>
      </w:r>
    </w:p>
    <w:p>
      <w:pPr>
        <w:pStyle w:val="Normal"/>
        <w:spacing w:lineRule="auto" w:line="360" w:before="0" w:after="0"/>
        <w:ind w:firstLine="1134"/>
        <w:jc w:val="both"/>
        <w:rPr>
          <w:rFonts w:ascii="Times-Italic" w:hAnsi="Times-Italic" w:cs="Times-Italic"/>
          <w:i/>
          <w:i/>
          <w:iCs/>
          <w:color w:val="4472C4" w:themeColor="accent1"/>
          <w:sz w:val="24"/>
          <w:szCs w:val="24"/>
        </w:rPr>
      </w:pPr>
      <w:r>
        <w:rPr/>
      </w:r>
      <m:oMath xmlns:m="http://schemas.openxmlformats.org/officeDocument/2006/math">
        <m:r>
          <w:rPr>
            <w:rFonts w:ascii="Cambria Math" w:hAnsi="Cambria Math"/>
          </w:rPr>
          <m:t xml:space="preserve">ln</m:t>
        </m:r>
        <m:d>
          <m:dPr>
            <m:begChr m:val="("/>
            <m:endChr m:val=")"/>
          </m:dPr>
          <m:e>
            <m:f>
              <m:num>
                <m:r>
                  <w:rPr>
                    <w:rFonts w:ascii="Cambria Math" w:hAnsi="Cambria Math"/>
                  </w:rPr>
                  <m:t xml:space="preserve">dα</m:t>
                </m:r>
              </m:num>
              <m:den>
                <m:r>
                  <w:rPr>
                    <w:rFonts w:ascii="Cambria Math" w:hAnsi="Cambria Math"/>
                  </w:rPr>
                  <m:t xml:space="preserve">dt</m:t>
                </m:r>
              </m:den>
            </m:f>
          </m:e>
        </m:d>
        <m:r>
          <w:rPr>
            <w:rFonts w:ascii="Cambria Math" w:hAnsi="Cambria Math"/>
          </w:rPr>
          <m:t xml:space="preserve">=</m:t>
        </m:r>
        <m:r>
          <w:rPr>
            <w:rFonts w:ascii="Cambria Math" w:hAnsi="Cambria Math"/>
          </w:rPr>
          <m:t xml:space="preserve">C</m:t>
        </m:r>
        <m:r>
          <w:rPr>
            <w:rFonts w:ascii="Cambria Math" w:hAnsi="Cambria Math"/>
          </w:rPr>
          <m:t xml:space="preserve">−</m:t>
        </m:r>
        <m:f>
          <m:num>
            <m:r>
              <w:rPr>
                <w:rFonts w:ascii="Cambria Math" w:hAnsi="Cambria Math"/>
              </w:rPr>
              <m:t xml:space="preserve">Ea</m:t>
            </m:r>
          </m:num>
          <m:den>
            <m:r>
              <w:rPr>
                <w:rFonts w:ascii="Cambria Math" w:hAnsi="Cambria Math"/>
              </w:rPr>
              <m:t xml:space="preserve">RT</m:t>
            </m:r>
          </m:den>
        </m:f>
      </m:oMath>
      <w:r>
        <w:rPr>
          <w:rFonts w:eastAsia="" w:cs="Times-Italic" w:ascii="Times-Italic" w:hAnsi="Times-Italic" w:eastAsiaTheme="minorEastAsia"/>
          <w:i/>
          <w:sz w:val="24"/>
          <w:szCs w:val="24"/>
        </w:rPr>
        <w:t xml:space="preserve">     </w:t>
      </w:r>
      <w:r>
        <w:rPr>
          <w:rFonts w:eastAsia="" w:cs="Times-Italic" w:ascii="Times-Italic" w:hAnsi="Times-Italic" w:eastAsiaTheme="minorEastAsia"/>
          <w:sz w:val="24"/>
          <w:szCs w:val="24"/>
        </w:rPr>
        <w:t xml:space="preserve">                                                                                                             </w:t>
      </w:r>
      <w:r>
        <w:rPr>
          <w:rFonts w:eastAsia="" w:cs="Times-Italic" w:ascii="Times-Italic" w:hAnsi="Times-Italic" w:eastAsiaTheme="minorEastAsia"/>
          <w:i/>
          <w:sz w:val="24"/>
          <w:szCs w:val="24"/>
        </w:rPr>
        <w:t xml:space="preserve"> </w:t>
      </w:r>
      <w:r>
        <w:rPr>
          <w:rFonts w:eastAsia="" w:cs="Times New Roman" w:ascii="Times New Roman" w:hAnsi="Times New Roman" w:eastAsiaTheme="minorEastAsia"/>
          <w:sz w:val="24"/>
          <w:szCs w:val="24"/>
        </w:rPr>
        <w:t>(21)</w:t>
      </w:r>
    </w:p>
    <w:p>
      <w:pPr>
        <w:pStyle w:val="Normal"/>
        <w:spacing w:lineRule="auto" w:line="360" w:before="0" w:after="0"/>
        <w:ind w:firstLine="1134"/>
        <w:jc w:val="both"/>
        <w:rPr>
          <w:rFonts w:ascii="Times New Roman" w:hAnsi="Times New Roman" w:cs="Times New Roman"/>
          <w:iCs/>
          <w:sz w:val="24"/>
          <w:szCs w:val="24"/>
        </w:rPr>
      </w:pPr>
      <w:r>
        <w:rPr>
          <w:rFonts w:cs="Times New Roman" w:ascii="Times New Roman" w:hAnsi="Times New Roman"/>
          <w:iCs/>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Onde:</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b/>
          <w:i/>
          <w:sz w:val="24"/>
          <w:szCs w:val="24"/>
        </w:rPr>
        <w:t>dα/dt</w:t>
      </w:r>
      <w:r>
        <w:rPr>
          <w:rFonts w:cs="Times New Roman" w:ascii="Times New Roman" w:hAnsi="Times New Roman"/>
          <w:sz w:val="24"/>
          <w:szCs w:val="24"/>
        </w:rPr>
        <w:t xml:space="preserve"> - Cristalinidade relativa em função do tempo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b/>
          <w:i/>
          <w:sz w:val="24"/>
          <w:szCs w:val="24"/>
        </w:rPr>
        <w:t>C</w:t>
      </w:r>
      <w:r>
        <w:rPr>
          <w:rFonts w:cs="Times New Roman" w:ascii="Times New Roman" w:hAnsi="Times New Roman"/>
          <w:sz w:val="24"/>
          <w:szCs w:val="24"/>
        </w:rPr>
        <w:t xml:space="preserve"> - Constante ln[A</w:t>
      </w:r>
      <w:r>
        <w:rPr>
          <w:rFonts w:cs="Times New Roman" w:ascii="Times New Roman" w:hAnsi="Times New Roman"/>
          <w:sz w:val="24"/>
          <w:szCs w:val="24"/>
          <w:vertAlign w:val="subscript"/>
        </w:rPr>
        <w:t>k</w:t>
      </w:r>
      <w:r>
        <w:rPr>
          <w:rFonts w:cs="Times New Roman" w:ascii="Times New Roman" w:hAnsi="Times New Roman"/>
          <w:sz w:val="24"/>
          <w:szCs w:val="24"/>
        </w:rPr>
        <w:t xml:space="preserve"> </w:t>
      </w:r>
      <w:r>
        <w:rPr>
          <w:rFonts w:cs="Times New Roman" w:ascii="Times New Roman" w:hAnsi="Times New Roman"/>
          <w:i/>
          <w:sz w:val="24"/>
          <w:szCs w:val="24"/>
        </w:rPr>
        <w:t>f</w:t>
      </w:r>
      <w:r>
        <w:rPr>
          <w:rFonts w:cs="Times New Roman" w:ascii="Times New Roman" w:hAnsi="Times New Roman"/>
          <w:sz w:val="24"/>
          <w:szCs w:val="24"/>
        </w:rPr>
        <w:t>(α)]</w:t>
      </w:r>
    </w:p>
    <w:p>
      <w:pPr>
        <w:pStyle w:val="NormalWeb"/>
        <w:shd w:val="clear" w:color="auto" w:fill="FFFFFF"/>
        <w:spacing w:lineRule="auto" w:line="360" w:before="0" w:after="0"/>
        <w:ind w:left="1134" w:hanging="0"/>
        <w:jc w:val="both"/>
        <w:rPr>
          <w:sz w:val="24"/>
          <w:szCs w:val="24"/>
        </w:rPr>
      </w:pPr>
      <w:r>
        <w:rPr>
          <w:b/>
          <w:i/>
          <w:sz w:val="24"/>
          <w:szCs w:val="24"/>
        </w:rPr>
        <w:t>Ea</w:t>
      </w:r>
      <w:r>
        <w:rPr>
          <w:sz w:val="24"/>
          <w:szCs w:val="24"/>
        </w:rPr>
        <w:t xml:space="preserve"> - Energia de ativação necessária para o crescimento do cristal;</w:t>
      </w:r>
    </w:p>
    <w:p>
      <w:pPr>
        <w:pStyle w:val="NormalWeb"/>
        <w:shd w:val="clear" w:color="auto" w:fill="FFFFFF"/>
        <w:spacing w:lineRule="auto" w:line="360" w:before="0" w:after="0"/>
        <w:ind w:left="1134" w:hanging="0"/>
        <w:jc w:val="both"/>
        <w:rPr>
          <w:sz w:val="24"/>
          <w:szCs w:val="24"/>
        </w:rPr>
      </w:pPr>
      <w:r>
        <w:rPr>
          <w:b/>
          <w:i/>
          <w:sz w:val="24"/>
          <w:szCs w:val="24"/>
        </w:rPr>
        <w:t>R</w:t>
      </w:r>
      <w:r>
        <w:rPr>
          <w:sz w:val="24"/>
          <w:szCs w:val="24"/>
        </w:rPr>
        <w:t xml:space="preserve"> - Constante dos gases (R = 8,314 J/K.mol);</w:t>
      </w:r>
    </w:p>
    <w:p>
      <w:pPr>
        <w:pStyle w:val="NormalWeb"/>
        <w:shd w:val="clear" w:color="auto" w:fill="FFFFFF"/>
        <w:spacing w:lineRule="auto" w:line="360" w:before="0" w:after="0"/>
        <w:ind w:left="1134" w:hanging="0"/>
        <w:jc w:val="both"/>
        <w:rPr>
          <w:sz w:val="24"/>
          <w:szCs w:val="24"/>
        </w:rPr>
      </w:pPr>
      <w:r>
        <w:rPr>
          <w:b/>
          <w:i/>
          <w:sz w:val="24"/>
          <w:szCs w:val="24"/>
        </w:rPr>
        <w:t>T</w:t>
      </w:r>
      <w:r>
        <w:rPr>
          <w:sz w:val="24"/>
          <w:szCs w:val="24"/>
        </w:rPr>
        <w:t xml:space="preserve"> - Temperatura do processo (Graus Kelvin);</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Medidas isotérmicas apresentam, na maioria dos casos, resultados mais precisos e é esse método que será utilizado nesse estudo.</w:t>
      </w:r>
    </w:p>
    <w:p>
      <w:pPr>
        <w:pStyle w:val="Normal"/>
        <w:spacing w:lineRule="auto" w:line="360" w:before="0" w:after="0"/>
        <w:ind w:firstLine="1134"/>
        <w:jc w:val="both"/>
        <w:rPr>
          <w:rFonts w:ascii="Times New Roman" w:hAnsi="Times New Roman" w:eastAsia="TimesNewRomanPSMT" w:cs="Times New Roman"/>
          <w:sz w:val="24"/>
          <w:szCs w:val="24"/>
        </w:rPr>
      </w:pPr>
      <w:r>
        <w:rPr>
          <w:rFonts w:eastAsia="TimesNewRomanPSMT" w:cs="Times New Roman" w:ascii="Times New Roman" w:hAnsi="Times New Roman"/>
          <w:sz w:val="24"/>
          <w:szCs w:val="24"/>
        </w:rPr>
        <w:t xml:space="preserve">Conforme Rios e Padilha (2007), para se determinar a cinética global de uma reação ou transformação, em geral, se mede a concentração ou a fração volumétrica de certa fase em função do tempo, obtendo-se a partir daí a velocidade da transformação. A determinação e a previsão da fração cristalizada </w:t>
      </w:r>
      <w:r>
        <w:rPr>
          <w:rFonts w:eastAsia="TimesNewRomanPSMT" w:cs="Times New Roman" w:ascii="Times New Roman" w:hAnsi="Times New Roman"/>
          <w:b/>
          <w:i/>
          <w:sz w:val="24"/>
          <w:szCs w:val="24"/>
        </w:rPr>
        <w:t>X</w:t>
      </w:r>
      <w:r>
        <w:rPr>
          <w:rFonts w:eastAsia="TimesNewRomanPSMT" w:cs="Times New Roman" w:ascii="Times New Roman" w:hAnsi="Times New Roman"/>
          <w:sz w:val="24"/>
          <w:szCs w:val="24"/>
        </w:rPr>
        <w:t>,</w:t>
      </w:r>
      <w:r>
        <w:rPr>
          <w:rFonts w:eastAsia="TimesNewRomanPSMT" w:cs="Times New Roman" w:ascii="Times New Roman" w:hAnsi="Times New Roman"/>
          <w:i/>
          <w:iCs/>
          <w:sz w:val="24"/>
          <w:szCs w:val="24"/>
        </w:rPr>
        <w:t xml:space="preserve"> </w:t>
      </w:r>
      <w:r>
        <w:rPr>
          <w:rFonts w:eastAsia="TimesNewRomanPSMT" w:cs="Times New Roman" w:ascii="Times New Roman" w:hAnsi="Times New Roman"/>
          <w:sz w:val="24"/>
          <w:szCs w:val="24"/>
        </w:rPr>
        <w:t xml:space="preserve">em função do tempo de reação </w:t>
      </w:r>
      <w:r>
        <w:rPr>
          <w:rFonts w:eastAsia="TimesNewRomanPSMT" w:cs="Times New Roman" w:ascii="Times New Roman" w:hAnsi="Times New Roman"/>
          <w:b/>
          <w:i/>
          <w:iCs/>
          <w:sz w:val="24"/>
          <w:szCs w:val="24"/>
        </w:rPr>
        <w:t>t</w:t>
      </w:r>
      <w:r>
        <w:rPr>
          <w:rFonts w:eastAsia="TimesNewRomanPSMT" w:cs="Times New Roman" w:ascii="Times New Roman" w:hAnsi="Times New Roman"/>
          <w:i/>
          <w:iCs/>
          <w:sz w:val="24"/>
          <w:szCs w:val="24"/>
        </w:rPr>
        <w:t xml:space="preserve">, </w:t>
      </w:r>
      <w:r>
        <w:rPr>
          <w:rFonts w:eastAsia="TimesNewRomanPSMT" w:cs="Times New Roman" w:ascii="Times New Roman" w:hAnsi="Times New Roman"/>
          <w:sz w:val="24"/>
          <w:szCs w:val="24"/>
        </w:rPr>
        <w:t xml:space="preserve">é o ponto central do estudo da cinética das transformações de fase.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figura 30 representa uma curva esquemática típica para uma transformação de fase heterogênea.</w:t>
      </w:r>
    </w:p>
    <w:p>
      <w:pPr>
        <w:pStyle w:val="Normal"/>
        <w:spacing w:lineRule="auto" w:line="360" w:before="0" w:after="0"/>
        <w:ind w:left="127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1276" w:hanging="0"/>
        <w:jc w:val="both"/>
        <w:rPr>
          <w:rFonts w:ascii="Times New Roman" w:hAnsi="Times New Roman" w:cs="Times New Roman"/>
          <w:sz w:val="24"/>
          <w:szCs w:val="24"/>
        </w:rPr>
      </w:pPr>
      <w:r>
        <w:rPr>
          <w:rFonts w:cs="Times New Roman" w:ascii="Times New Roman" w:hAnsi="Times New Roman"/>
          <w:sz w:val="24"/>
          <w:szCs w:val="24"/>
        </w:rPr>
        <w:t xml:space="preserve">Figura 30 - </w:t>
      </w:r>
      <w:r>
        <w:rPr>
          <w:rFonts w:cs="Times New Roman" w:ascii="Times New Roman" w:hAnsi="Times New Roman"/>
          <w:sz w:val="24"/>
        </w:rPr>
        <w:t>F</w:t>
      </w:r>
      <w:r>
        <w:rPr>
          <w:rFonts w:eastAsia="TimesNewRomanPSMT" w:cs="Times New Roman" w:ascii="Times New Roman" w:hAnsi="Times New Roman"/>
          <w:sz w:val="24"/>
          <w:szCs w:val="24"/>
        </w:rPr>
        <w:t xml:space="preserve">ração cristalizada </w:t>
      </w:r>
      <w:r>
        <w:rPr>
          <w:rFonts w:eastAsia="TimesNewRomanPSMT" w:cs="Times New Roman" w:ascii="Times New Roman" w:hAnsi="Times New Roman"/>
          <w:b/>
          <w:i/>
          <w:sz w:val="24"/>
          <w:szCs w:val="24"/>
        </w:rPr>
        <w:t>X</w:t>
      </w:r>
      <w:r>
        <w:rPr>
          <w:rFonts w:eastAsia="TimesNewRomanPSMT" w:cs="Times New Roman" w:ascii="Times New Roman" w:hAnsi="Times New Roman"/>
          <w:i/>
          <w:iCs/>
          <w:sz w:val="24"/>
          <w:szCs w:val="24"/>
        </w:rPr>
        <w:t xml:space="preserve"> </w:t>
      </w:r>
      <w:r>
        <w:rPr>
          <w:rFonts w:eastAsia="TimesNewRomanPSMT" w:cs="Times New Roman" w:ascii="Times New Roman" w:hAnsi="Times New Roman"/>
          <w:iCs/>
          <w:sz w:val="24"/>
          <w:szCs w:val="24"/>
        </w:rPr>
        <w:t>versus</w:t>
      </w:r>
      <w:r>
        <w:rPr>
          <w:rFonts w:eastAsia="TimesNewRomanPSMT" w:cs="Times New Roman" w:ascii="Times New Roman" w:hAnsi="Times New Roman"/>
          <w:sz w:val="24"/>
          <w:szCs w:val="24"/>
        </w:rPr>
        <w:t xml:space="preserve"> tempo de reação </w:t>
      </w:r>
      <w:r>
        <w:rPr>
          <w:rFonts w:eastAsia="TimesNewRomanPSMT" w:cs="Times New Roman" w:ascii="Times New Roman" w:hAnsi="Times New Roman"/>
          <w:b/>
          <w:i/>
          <w:iCs/>
          <w:sz w:val="24"/>
          <w:szCs w:val="24"/>
        </w:rPr>
        <w:t>t</w:t>
      </w:r>
      <w:r>
        <w:rPr>
          <w:rFonts w:eastAsia="TimesNewRomanPSMT" w:cs="Times New Roman" w:ascii="Times New Roman" w:hAnsi="Times New Roman"/>
          <w:iCs/>
          <w:sz w:val="24"/>
          <w:szCs w:val="24"/>
        </w:rPr>
        <w:t>.</w:t>
      </w:r>
      <w:bookmarkStart w:id="133" w:name="_Hlk156893873"/>
      <w:bookmarkStart w:id="134" w:name="_Hlk151551288"/>
      <w:bookmarkEnd w:id="133"/>
      <w:bookmarkEnd w:id="134"/>
    </w:p>
    <w:p>
      <w:pPr>
        <w:pStyle w:val="Normal"/>
        <w:spacing w:lineRule="auto" w:line="360" w:before="0" w:after="0"/>
        <w:jc w:val="center"/>
        <w:rPr>
          <w:rFonts w:ascii="Times New Roman" w:hAnsi="Times New Roman" w:cs="Times New Roman"/>
          <w:sz w:val="24"/>
          <w:szCs w:val="24"/>
        </w:rPr>
      </w:pPr>
      <w:r>
        <w:rPr/>
        <w:drawing>
          <wp:inline distT="0" distB="635" distL="0" distR="1905">
            <wp:extent cx="3922395" cy="2838450"/>
            <wp:effectExtent l="0" t="0" r="0" b="0"/>
            <wp:docPr id="38" name="Imagem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21" descr=""/>
                    <pic:cNvPicPr>
                      <a:picLocks noChangeAspect="1" noChangeArrowheads="1"/>
                    </pic:cNvPicPr>
                  </pic:nvPicPr>
                  <pic:blipFill>
                    <a:blip r:embed="rId35"/>
                    <a:srcRect l="30346" t="31829" r="35144" b="21301"/>
                    <a:stretch>
                      <a:fillRect/>
                    </a:stretch>
                  </pic:blipFill>
                  <pic:spPr bwMode="auto">
                    <a:xfrm>
                      <a:off x="0" y="0"/>
                      <a:ext cx="3922395" cy="2838450"/>
                    </a:xfrm>
                    <a:prstGeom prst="rect">
                      <a:avLst/>
                    </a:prstGeom>
                  </pic:spPr>
                </pic:pic>
              </a:graphicData>
            </a:graphic>
          </wp:inline>
        </w:drawing>
      </w:r>
    </w:p>
    <w:p>
      <w:pPr>
        <w:pStyle w:val="Normal"/>
        <w:spacing w:lineRule="auto" w:line="360" w:before="0" w:after="0"/>
        <w:ind w:left="1276" w:hanging="0"/>
        <w:jc w:val="both"/>
        <w:rPr>
          <w:rFonts w:ascii="Times New Roman" w:hAnsi="Times New Roman" w:cs="Times New Roman"/>
          <w:sz w:val="20"/>
          <w:szCs w:val="24"/>
        </w:rPr>
      </w:pPr>
      <w:r>
        <w:rPr>
          <w:rFonts w:cs="Times New Roman" w:ascii="Times New Roman" w:hAnsi="Times New Roman"/>
          <w:sz w:val="20"/>
          <w:szCs w:val="24"/>
        </w:rPr>
        <w:t>Fonte: SIDEL et.al. (2018).</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No início da formação de uma fase cristalina, a taxa de crescimento é lenta até a região </w:t>
      </w:r>
      <w:r>
        <w:rPr>
          <w:rFonts w:cs="Times New Roman" w:ascii="Times New Roman" w:hAnsi="Times New Roman"/>
          <w:b/>
          <w:i/>
          <w:sz w:val="24"/>
          <w:szCs w:val="24"/>
        </w:rPr>
        <w:t>t</w:t>
      </w:r>
      <w:r>
        <w:rPr>
          <w:rFonts w:cs="Times New Roman" w:ascii="Times New Roman" w:hAnsi="Times New Roman"/>
          <w:b/>
          <w:i/>
          <w:sz w:val="24"/>
          <w:szCs w:val="24"/>
          <w:vertAlign w:val="subscript"/>
        </w:rPr>
        <w:t>a</w:t>
      </w:r>
      <w:r>
        <w:rPr>
          <w:rFonts w:cs="Times New Roman" w:ascii="Times New Roman" w:hAnsi="Times New Roman"/>
          <w:sz w:val="24"/>
          <w:szCs w:val="24"/>
        </w:rPr>
        <w:t xml:space="preserve">, devido ao processo de incubação, em que pequenas partículas começam a aparecer (embriões).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Na segunda etapa do processo de cristalização, entre </w:t>
      </w:r>
      <w:r>
        <w:rPr>
          <w:rFonts w:cs="Times New Roman" w:ascii="Times New Roman" w:hAnsi="Times New Roman"/>
          <w:b/>
          <w:i/>
          <w:sz w:val="24"/>
          <w:szCs w:val="24"/>
        </w:rPr>
        <w:t>t</w:t>
      </w:r>
      <w:r>
        <w:rPr>
          <w:rFonts w:cs="Times New Roman" w:ascii="Times New Roman" w:hAnsi="Times New Roman"/>
          <w:b/>
          <w:i/>
          <w:sz w:val="24"/>
          <w:szCs w:val="24"/>
          <w:vertAlign w:val="subscript"/>
        </w:rPr>
        <w:t>a</w:t>
      </w:r>
      <w:r>
        <w:rPr>
          <w:rFonts w:cs="Times New Roman" w:ascii="Times New Roman" w:hAnsi="Times New Roman"/>
          <w:sz w:val="24"/>
          <w:szCs w:val="24"/>
        </w:rPr>
        <w:t xml:space="preserve"> e </w:t>
      </w:r>
      <w:r>
        <w:rPr>
          <w:rFonts w:cs="Times New Roman" w:ascii="Times New Roman" w:hAnsi="Times New Roman"/>
          <w:b/>
          <w:i/>
          <w:sz w:val="24"/>
          <w:szCs w:val="24"/>
        </w:rPr>
        <w:t>t</w:t>
      </w:r>
      <w:r>
        <w:rPr>
          <w:rFonts w:cs="Times New Roman" w:ascii="Times New Roman" w:hAnsi="Times New Roman"/>
          <w:b/>
          <w:i/>
          <w:sz w:val="24"/>
          <w:szCs w:val="24"/>
          <w:vertAlign w:val="subscript"/>
        </w:rPr>
        <w:t>b</w:t>
      </w:r>
      <w:r>
        <w:rPr>
          <w:rFonts w:cs="Times New Roman" w:ascii="Times New Roman" w:hAnsi="Times New Roman"/>
          <w:sz w:val="24"/>
          <w:szCs w:val="24"/>
        </w:rPr>
        <w:t xml:space="preserve">, o número máximo de núcleos é atingido aumentando significativamente a taxa de transformação. A variação desta taxa é notada devido à mudança na inclinação da curva.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A partir da região </w:t>
      </w:r>
      <w:r>
        <w:rPr>
          <w:rFonts w:cs="Times New Roman" w:ascii="Times New Roman" w:hAnsi="Times New Roman"/>
          <w:b/>
          <w:i/>
          <w:sz w:val="24"/>
          <w:szCs w:val="24"/>
        </w:rPr>
        <w:t>t</w:t>
      </w:r>
      <w:r>
        <w:rPr>
          <w:rFonts w:cs="Times New Roman" w:ascii="Times New Roman" w:hAnsi="Times New Roman"/>
          <w:b/>
          <w:i/>
          <w:sz w:val="24"/>
          <w:szCs w:val="24"/>
          <w:vertAlign w:val="subscript"/>
        </w:rPr>
        <w:t>b</w:t>
      </w:r>
      <w:r>
        <w:rPr>
          <w:rFonts w:cs="Times New Roman" w:ascii="Times New Roman" w:hAnsi="Times New Roman"/>
          <w:sz w:val="24"/>
          <w:szCs w:val="24"/>
        </w:rPr>
        <w:t xml:space="preserve"> ocorre a saturação do crescimento de cristais, devido a ocupação dos mesmos em quase todo volume do material, resultando assim na diminuição da taxa de transformação. Nesta parte do processo a taxa de transformação depende principalmente da “rigidez” das fases em relação ao movimento das partículas constituintes do meio em transformação (</w:t>
      </w:r>
      <w:bookmarkStart w:id="135" w:name="_Hlk156988941"/>
      <w:r>
        <w:rPr>
          <w:rFonts w:cs="Times New Roman" w:ascii="Times New Roman" w:hAnsi="Times New Roman"/>
          <w:sz w:val="24"/>
          <w:szCs w:val="24"/>
        </w:rPr>
        <w:t>M.C. Kuo, J.C. Huang, M. Chen, 2006</w:t>
      </w:r>
      <w:bookmarkEnd w:id="135"/>
      <w:r>
        <w:rPr>
          <w:rFonts w:cs="Times New Roman" w:ascii="Times New Roman" w:hAnsi="Times New Roman"/>
          <w:sz w:val="24"/>
          <w:szCs w:val="24"/>
        </w:rPr>
        <w:t>).</w:t>
      </w:r>
    </w:p>
    <w:p>
      <w:pPr>
        <w:pStyle w:val="Normal"/>
        <w:spacing w:lineRule="auto" w:line="360" w:before="0" w:after="0"/>
        <w:ind w:firstLine="1134"/>
        <w:jc w:val="both"/>
        <w:rPr>
          <w:rFonts w:ascii="Times New Roman" w:hAnsi="Times New Roman" w:cs="Times New Roman"/>
          <w:sz w:val="24"/>
        </w:rPr>
      </w:pPr>
      <w:r>
        <w:rPr>
          <w:rFonts w:cs="Times New Roman" w:ascii="Times New Roman" w:hAnsi="Times New Roman"/>
          <w:sz w:val="24"/>
        </w:rPr>
        <w:t xml:space="preserve">É conveniente descrever esta curva por uma função </w:t>
      </w:r>
      <w:r>
        <w:rPr>
          <w:rFonts w:cs="Times New Roman" w:ascii="Times New Roman" w:hAnsi="Times New Roman"/>
          <w:b/>
          <w:i/>
          <w:sz w:val="24"/>
        </w:rPr>
        <w:t>X</w:t>
      </w:r>
      <w:r>
        <w:rPr>
          <w:rFonts w:cs="Times New Roman" w:ascii="Times New Roman" w:hAnsi="Times New Roman"/>
          <w:sz w:val="24"/>
        </w:rPr>
        <w:t xml:space="preserve">=g(t) conforme a equação 22. De acordo com RIOS e PADILHA (2007), esta equação é geralmente denominada </w:t>
      </w:r>
      <w:bookmarkStart w:id="136" w:name="_Hlk160778802"/>
      <w:r>
        <w:rPr>
          <w:rFonts w:cs="Times New Roman" w:ascii="Times New Roman" w:hAnsi="Times New Roman"/>
          <w:sz w:val="24"/>
        </w:rPr>
        <w:t>Johnson-Mehl-Avrami-Kolmogorov</w:t>
      </w:r>
      <w:bookmarkEnd w:id="136"/>
      <w:r>
        <w:rPr>
          <w:rFonts w:cs="Times New Roman" w:ascii="Times New Roman" w:hAnsi="Times New Roman"/>
          <w:sz w:val="24"/>
        </w:rPr>
        <w:t xml:space="preserve"> ou simplesmente JMAK. Ela foi deduzida e apresentada em trabalhos independentes no final da década de 1930 e início da década de 1940.</w:t>
      </w:r>
    </w:p>
    <w:p>
      <w:pPr>
        <w:pStyle w:val="Normal"/>
        <w:spacing w:lineRule="auto" w:line="360" w:before="240" w:after="140"/>
        <w:ind w:firstLine="1134"/>
        <w:jc w:val="both"/>
        <w:rPr>
          <w:rFonts w:ascii="Times New Roman" w:hAnsi="Times New Roman" w:cs="Times New Roman"/>
          <w:sz w:val="24"/>
          <w:szCs w:val="24"/>
        </w:rPr>
      </w:pPr>
      <w:r>
        <w:rPr/>
      </w:r>
      <m:oMath xmlns:m="http://schemas.openxmlformats.org/officeDocument/2006/math">
        <m:r>
          <w:rPr>
            <w:rFonts w:ascii="Cambria Math" w:hAnsi="Cambria Math"/>
          </w:rPr>
          <m:t xml:space="preserve">X</m:t>
        </m:r>
        <m:d>
          <m:dPr>
            <m:begChr m:val="("/>
            <m:endChr m:val=")"/>
          </m:dPr>
          <m:e>
            <m:r>
              <w:rPr>
                <w:rFonts w:ascii="Cambria Math" w:hAnsi="Cambria Math"/>
              </w:rPr>
              <m:t xml:space="preserve">t</m:t>
            </m:r>
          </m:e>
        </m:d>
        <m:r>
          <w:rPr>
            <w:rFonts w:ascii="Cambria Math" w:hAnsi="Cambria Math"/>
          </w:rPr>
          <m:t xml:space="preserve">=</m:t>
        </m:r>
        <m:r>
          <w:rPr>
            <w:rFonts w:ascii="Cambria Math" w:hAnsi="Cambria Math"/>
          </w:rPr>
          <m:t xml:space="preserve">1</m:t>
        </m:r>
        <m:r>
          <w:rPr>
            <w:rFonts w:ascii="Cambria Math" w:hAnsi="Cambria Math"/>
          </w:rPr>
          <m:t xml:space="preserve">−</m:t>
        </m:r>
        <m:sSup>
          <m:e>
            <m:r>
              <w:rPr>
                <w:rFonts w:ascii="Cambria Math" w:hAnsi="Cambria Math"/>
              </w:rPr>
              <m:t xml:space="preserve">exp</m:t>
            </m:r>
          </m:e>
          <m:sup>
            <m:r>
              <w:rPr>
                <w:rFonts w:ascii="Cambria Math" w:hAnsi="Cambria Math"/>
              </w:rPr>
              <m:t xml:space="preserve">−</m:t>
            </m:r>
            <m:r>
              <w:rPr>
                <w:rFonts w:ascii="Cambria Math" w:hAnsi="Cambria Math"/>
              </w:rPr>
              <m:t xml:space="preserve">k</m:t>
            </m:r>
            <m:sSup>
              <m:e>
                <m:r>
                  <w:rPr>
                    <w:rFonts w:ascii="Cambria Math" w:hAnsi="Cambria Math"/>
                  </w:rPr>
                  <m:t xml:space="preserve">t</m:t>
                </m:r>
              </m:e>
              <m:sup>
                <m:r>
                  <w:rPr>
                    <w:rFonts w:ascii="Cambria Math" w:hAnsi="Cambria Math"/>
                  </w:rPr>
                  <m:t xml:space="preserve">n</m:t>
                </m:r>
              </m:sup>
            </m:sSup>
          </m:sup>
        </m:sSup>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b/>
          <w:sz w:val="24"/>
          <w:szCs w:val="24"/>
        </w:rPr>
        <w:t>(Equação JMAK)</w:t>
      </w:r>
      <w:r>
        <w:rPr>
          <w:rFonts w:eastAsia="" w:cs="Times New Roman" w:ascii="Times New Roman" w:hAnsi="Times New Roman" w:eastAsiaTheme="minorEastAsia"/>
          <w:sz w:val="24"/>
          <w:szCs w:val="24"/>
        </w:rPr>
        <w:t xml:space="preserve">                                                                  (22)</w:t>
      </w:r>
    </w:p>
    <w:p>
      <w:pPr>
        <w:pStyle w:val="Normal"/>
        <w:spacing w:lineRule="auto" w:line="360" w:before="24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w:t>
      </w:r>
      <w:r>
        <w:rPr>
          <w:rFonts w:cs="Times New Roman" w:ascii="Times New Roman" w:hAnsi="Times New Roman"/>
          <w:b/>
          <w:i/>
          <w:sz w:val="24"/>
          <w:szCs w:val="24"/>
        </w:rPr>
        <w:t>X(t)</w:t>
      </w:r>
      <w:r>
        <w:rPr>
          <w:rFonts w:cs="Times New Roman" w:ascii="Times New Roman" w:hAnsi="Times New Roman"/>
          <w:sz w:val="24"/>
          <w:szCs w:val="24"/>
        </w:rPr>
        <w:t xml:space="preserve"> é a fração de massa cristalizada após um tempo </w:t>
      </w:r>
      <w:r>
        <w:rPr>
          <w:rFonts w:cs="Times New Roman" w:ascii="Times New Roman" w:hAnsi="Times New Roman"/>
          <w:b/>
          <w:i/>
          <w:sz w:val="24"/>
          <w:szCs w:val="24"/>
        </w:rPr>
        <w:t>t</w:t>
      </w:r>
      <w:r>
        <w:rPr>
          <w:rFonts w:cs="Times New Roman" w:ascii="Times New Roman" w:hAnsi="Times New Roman"/>
          <w:sz w:val="24"/>
          <w:szCs w:val="24"/>
        </w:rPr>
        <w:t xml:space="preserve"> (o tempo de incubação é excluído), </w:t>
      </w:r>
      <w:r>
        <w:rPr>
          <w:rFonts w:cs="Times New Roman" w:ascii="Times New Roman" w:hAnsi="Times New Roman"/>
          <w:b/>
          <w:i/>
          <w:sz w:val="24"/>
          <w:szCs w:val="24"/>
        </w:rPr>
        <w:t>k</w:t>
      </w:r>
      <w:r>
        <w:rPr>
          <w:rFonts w:cs="Times New Roman" w:ascii="Times New Roman" w:hAnsi="Times New Roman"/>
          <w:sz w:val="24"/>
          <w:szCs w:val="24"/>
        </w:rPr>
        <w:t xml:space="preserve"> é a constante cinética definida como taxa de cristalização e </w:t>
      </w:r>
      <w:r>
        <w:rPr>
          <w:rFonts w:cs="Times New Roman" w:ascii="Times New Roman" w:hAnsi="Times New Roman"/>
          <w:b/>
          <w:i/>
          <w:sz w:val="24"/>
          <w:szCs w:val="24"/>
        </w:rPr>
        <w:t>n</w:t>
      </w:r>
      <w:r>
        <w:rPr>
          <w:rFonts w:cs="Times New Roman" w:ascii="Times New Roman" w:hAnsi="Times New Roman"/>
          <w:sz w:val="24"/>
          <w:szCs w:val="24"/>
        </w:rPr>
        <w:t xml:space="preserve"> é o expoente de Avrami. </w:t>
      </w:r>
      <w:r>
        <w:rPr>
          <w:rFonts w:cs="Times New Roman" w:ascii="Times New Roman" w:hAnsi="Times New Roman"/>
          <w:b/>
          <w:i/>
          <w:sz w:val="24"/>
          <w:szCs w:val="24"/>
        </w:rPr>
        <w:t>k</w:t>
      </w:r>
      <w:r>
        <w:rPr>
          <w:rFonts w:cs="Times New Roman" w:ascii="Times New Roman" w:hAnsi="Times New Roman"/>
          <w:sz w:val="24"/>
          <w:szCs w:val="24"/>
        </w:rPr>
        <w:t xml:space="preserve"> e </w:t>
      </w:r>
      <w:r>
        <w:rPr>
          <w:rFonts w:cs="Times New Roman" w:ascii="Times New Roman" w:hAnsi="Times New Roman"/>
          <w:b/>
          <w:i/>
          <w:sz w:val="24"/>
          <w:szCs w:val="24"/>
        </w:rPr>
        <w:t>n</w:t>
      </w:r>
      <w:r>
        <w:rPr>
          <w:rFonts w:cs="Times New Roman" w:ascii="Times New Roman" w:hAnsi="Times New Roman"/>
          <w:sz w:val="24"/>
          <w:szCs w:val="24"/>
        </w:rPr>
        <w:t xml:space="preserve"> são constantes independentes do tempo, dependente apenas do mecanismo de crescimento e da dimensionalidade do cristal. </w:t>
      </w:r>
      <w:r>
        <w:rPr>
          <w:rFonts w:cs="Times New Roman" w:ascii="Times New Roman" w:hAnsi="Times New Roman"/>
          <w:b/>
          <w:i/>
          <w:sz w:val="24"/>
          <w:szCs w:val="24"/>
        </w:rPr>
        <w:t>k</w:t>
      </w:r>
      <w:r>
        <w:rPr>
          <w:rFonts w:cs="Times New Roman" w:ascii="Times New Roman" w:hAnsi="Times New Roman"/>
          <w:sz w:val="24"/>
          <w:szCs w:val="24"/>
        </w:rPr>
        <w:t xml:space="preserve"> e </w:t>
      </w:r>
      <w:r>
        <w:rPr>
          <w:rFonts w:cs="Times New Roman" w:ascii="Times New Roman" w:hAnsi="Times New Roman"/>
          <w:b/>
          <w:i/>
          <w:sz w:val="24"/>
          <w:szCs w:val="24"/>
        </w:rPr>
        <w:t>n</w:t>
      </w:r>
      <w:r>
        <w:rPr>
          <w:rFonts w:cs="Times New Roman" w:ascii="Times New Roman" w:hAnsi="Times New Roman"/>
          <w:sz w:val="24"/>
          <w:szCs w:val="24"/>
        </w:rPr>
        <w:t xml:space="preserve"> são determinados ajustando-se a equação acima aos dados experimentais.</w:t>
      </w:r>
    </w:p>
    <w:p>
      <w:pPr>
        <w:pStyle w:val="Normal"/>
        <w:spacing w:lineRule="auto" w:line="360"/>
        <w:ind w:firstLine="1134"/>
        <w:jc w:val="both"/>
        <w:rPr>
          <w:rFonts w:ascii="Times New Roman" w:hAnsi="Times New Roman" w:cs="Times New Roman"/>
          <w:sz w:val="24"/>
          <w:szCs w:val="24"/>
        </w:rPr>
      </w:pPr>
      <w:r>
        <w:rPr>
          <w:rFonts w:cs="Times New Roman" w:ascii="Times New Roman" w:hAnsi="Times New Roman"/>
          <w:sz w:val="24"/>
        </w:rPr>
        <w:t>Esta equação de forma sigmoidal, geralmente é utilizada aplicando</w:t>
      </w:r>
      <w:r>
        <w:rPr>
          <w:rFonts w:cs="Times New Roman" w:ascii="Times New Roman" w:hAnsi="Times New Roman"/>
          <w:sz w:val="24"/>
          <w:szCs w:val="24"/>
        </w:rPr>
        <w:t xml:space="preserve"> duas vezes o logaritmo, ou seja:</w:t>
      </w:r>
    </w:p>
    <w:p>
      <w:pPr>
        <w:pStyle w:val="Normal"/>
        <w:spacing w:lineRule="auto" w:line="360" w:before="240" w:after="140"/>
        <w:ind w:firstLine="1134"/>
        <w:jc w:val="both"/>
        <w:rPr>
          <w:rFonts w:ascii="Times New Roman" w:hAnsi="Times New Roman" w:eastAsia="" w:cs="Times New Roman" w:eastAsiaTheme="minorEastAsia"/>
          <w:sz w:val="24"/>
          <w:szCs w:val="24"/>
        </w:rPr>
      </w:pPr>
      <w:r>
        <w:rPr/>
      </w:r>
      <m:oMath xmlns:m="http://schemas.openxmlformats.org/officeDocument/2006/math">
        <m:r>
          <w:rPr>
            <w:rFonts w:ascii="Cambria Math" w:hAnsi="Cambria Math"/>
          </w:rPr>
          <m:t xml:space="preserve">ln</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x</m:t>
            </m:r>
          </m:e>
        </m:d>
        <m:r>
          <w:rPr>
            <w:rFonts w:ascii="Cambria Math" w:hAnsi="Cambria Math"/>
          </w:rPr>
          <m:t xml:space="preserve">=</m:t>
        </m:r>
        <m:sSup>
          <m:e>
            <m:r>
              <w:rPr>
                <w:rFonts w:ascii="Cambria Math" w:hAnsi="Cambria Math"/>
              </w:rPr>
              <m:t xml:space="preserve">−</m:t>
            </m:r>
            <m:d>
              <m:dPr>
                <m:begChr m:val="("/>
                <m:endChr m:val=")"/>
              </m:dPr>
              <m:e>
                <m:r>
                  <w:rPr>
                    <w:rFonts w:ascii="Cambria Math" w:hAnsi="Cambria Math"/>
                  </w:rPr>
                  <m:t xml:space="preserve">kt</m:t>
                </m:r>
              </m:e>
            </m:d>
          </m:e>
          <m:sup>
            <m:r>
              <w:rPr>
                <w:rFonts w:ascii="Cambria Math" w:hAnsi="Cambria Math"/>
              </w:rPr>
              <m:t xml:space="preserve">n</m:t>
            </m:r>
          </m:sup>
        </m:sSup>
      </m:oMath>
      <w:r>
        <w:rPr>
          <w:rFonts w:eastAsia="" w:cs="Times New Roman" w:ascii="Times New Roman" w:hAnsi="Times New Roman" w:eastAsiaTheme="minorEastAsia"/>
          <w:sz w:val="24"/>
          <w:szCs w:val="24"/>
        </w:rPr>
        <w:t xml:space="preserve">   →</w:t>
      </w:r>
      <w:r>
        <w:rPr/>
      </w:r>
      <m:oMath xmlns:m="http://schemas.openxmlformats.org/officeDocument/2006/math">
        <m:r>
          <w:rPr>
            <w:rFonts w:ascii="Cambria Math" w:hAnsi="Cambria Math"/>
          </w:rPr>
          <m:t xml:space="preserve">ln</m:t>
        </m:r>
        <m:d>
          <m:dPr>
            <m:begChr m:val="["/>
            <m:endChr m:val="]"/>
          </m:dPr>
          <m:e>
            <m:r>
              <w:rPr>
                <w:rFonts w:ascii="Cambria Math" w:hAnsi="Cambria Math"/>
              </w:rPr>
              <m:t xml:space="preserve">−</m:t>
            </m:r>
            <m:r>
              <w:rPr>
                <w:rFonts w:ascii="Cambria Math" w:hAnsi="Cambria Math"/>
              </w:rPr>
              <m:t xml:space="preserve">ln</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x</m:t>
                </m:r>
              </m:e>
            </m:d>
          </m:e>
        </m:d>
        <m:r>
          <w:rPr>
            <w:rFonts w:ascii="Cambria Math" w:hAnsi="Cambria Math"/>
          </w:rPr>
          <m:t xml:space="preserve">=</m:t>
        </m:r>
        <m:r>
          <w:rPr>
            <w:rFonts w:ascii="Cambria Math" w:hAnsi="Cambria Math"/>
          </w:rPr>
          <m:t xml:space="preserve">ln</m:t>
        </m:r>
        <m:r>
          <w:rPr>
            <w:rFonts w:ascii="Cambria Math" w:hAnsi="Cambria Math"/>
          </w:rPr>
          <m:t xml:space="preserve">k</m:t>
        </m:r>
        <m:r>
          <w:rPr>
            <w:rFonts w:ascii="Cambria Math" w:hAnsi="Cambria Math"/>
          </w:rPr>
          <m:t xml:space="preserve">+</m:t>
        </m:r>
        <m:r>
          <w:rPr>
            <w:rFonts w:ascii="Cambria Math" w:hAnsi="Cambria Math"/>
          </w:rPr>
          <m:t xml:space="preserve">n</m:t>
        </m:r>
        <m:r>
          <w:rPr>
            <w:rFonts w:ascii="Cambria Math" w:hAnsi="Cambria Math"/>
          </w:rPr>
          <m:t xml:space="preserve">ln</m:t>
        </m:r>
        <m:r>
          <w:rPr>
            <w:rFonts w:ascii="Cambria Math" w:hAnsi="Cambria Math"/>
          </w:rPr>
          <m:t xml:space="preserve">t</m:t>
        </m:r>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(23)</w:t>
      </w:r>
    </w:p>
    <w:p>
      <w:pPr>
        <w:pStyle w:val="Normal"/>
        <w:spacing w:lineRule="auto" w:line="360" w:before="240" w:after="0"/>
        <w:ind w:firstLine="1134"/>
        <w:jc w:val="both"/>
        <w:rPr>
          <w:rFonts w:ascii="Times New Roman" w:hAnsi="Times New Roman" w:cs="Times New Roman"/>
          <w:sz w:val="24"/>
          <w:szCs w:val="24"/>
        </w:rPr>
      </w:pPr>
      <w:r>
        <w:rPr>
          <w:rFonts w:cs="Times New Roman" w:ascii="Times New Roman" w:hAnsi="Times New Roman"/>
          <w:sz w:val="24"/>
        </w:rPr>
        <w:t xml:space="preserve">O lado esquerdo da equação linearizada é plotado em função de </w:t>
      </w:r>
      <w:r>
        <w:rPr>
          <w:rFonts w:cs="Times New Roman" w:ascii="Times New Roman" w:hAnsi="Times New Roman"/>
          <w:i/>
          <w:sz w:val="24"/>
        </w:rPr>
        <w:t>ln(</w:t>
      </w:r>
      <w:r>
        <w:rPr>
          <w:rFonts w:cs="Times New Roman" w:ascii="Times New Roman" w:hAnsi="Times New Roman"/>
          <w:b/>
          <w:i/>
          <w:sz w:val="24"/>
        </w:rPr>
        <w:t>t</w:t>
      </w:r>
      <w:r>
        <w:rPr>
          <w:rFonts w:cs="Times New Roman" w:ascii="Times New Roman" w:hAnsi="Times New Roman"/>
          <w:i/>
          <w:sz w:val="24"/>
        </w:rPr>
        <w:t>)</w:t>
      </w:r>
      <w:r>
        <w:rPr>
          <w:rFonts w:cs="Times New Roman" w:ascii="Times New Roman" w:hAnsi="Times New Roman"/>
          <w:sz w:val="24"/>
        </w:rPr>
        <w:t xml:space="preserve"> em segundos, resultando numa reta </w:t>
      </w:r>
      <w:r>
        <w:rPr>
          <w:rFonts w:cs="Times New Roman" w:ascii="Times New Roman" w:hAnsi="Times New Roman"/>
          <w:sz w:val="24"/>
          <w:szCs w:val="24"/>
        </w:rPr>
        <w:t>como podemos ver na figura 31.</w:t>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firstLine="1134"/>
        <w:jc w:val="both"/>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360" w:before="0" w:after="0"/>
        <w:ind w:left="1134" w:hanging="0"/>
        <w:jc w:val="both"/>
        <w:rPr>
          <w:rFonts w:ascii="Times New Roman" w:hAnsi="Times New Roman" w:cs="Times New Roman"/>
          <w:sz w:val="24"/>
          <w:szCs w:val="24"/>
        </w:rPr>
      </w:pPr>
      <w:bookmarkStart w:id="137" w:name="_Hlk156893893"/>
      <w:r>
        <w:rPr>
          <w:rFonts w:cs="Times New Roman" w:ascii="Times New Roman" w:hAnsi="Times New Roman"/>
          <w:sz w:val="24"/>
          <w:szCs w:val="24"/>
        </w:rPr>
        <w:t>Figura 31 - Linearização da equação de JMAK.</w:t>
      </w:r>
      <w:bookmarkEnd w:id="137"/>
    </w:p>
    <w:p>
      <w:pPr>
        <w:pStyle w:val="Normal"/>
        <w:spacing w:lineRule="auto" w:line="360" w:before="0" w:after="0"/>
        <w:jc w:val="center"/>
        <w:rPr>
          <w:rFonts w:ascii="Times New Roman" w:hAnsi="Times New Roman" w:cs="Times New Roman"/>
          <w:sz w:val="24"/>
          <w:szCs w:val="24"/>
        </w:rPr>
      </w:pPr>
      <w:r>
        <w:rPr/>
        <w:drawing>
          <wp:inline distT="0" distB="3175" distL="0" distR="3175">
            <wp:extent cx="4111625" cy="3064510"/>
            <wp:effectExtent l="0" t="0" r="0" b="0"/>
            <wp:docPr id="39" name="Imagem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68" descr=""/>
                    <pic:cNvPicPr>
                      <a:picLocks noChangeAspect="1" noChangeArrowheads="1"/>
                    </pic:cNvPicPr>
                  </pic:nvPicPr>
                  <pic:blipFill>
                    <a:blip r:embed="rId36"/>
                    <a:srcRect l="18922" t="9000" r="27261" b="19670"/>
                    <a:stretch>
                      <a:fillRect/>
                    </a:stretch>
                  </pic:blipFill>
                  <pic:spPr bwMode="auto">
                    <a:xfrm>
                      <a:off x="0" y="0"/>
                      <a:ext cx="4111625" cy="3064510"/>
                    </a:xfrm>
                    <a:prstGeom prst="rect">
                      <a:avLst/>
                    </a:prstGeom>
                  </pic:spPr>
                </pic:pic>
              </a:graphicData>
            </a:graphic>
          </wp:inline>
        </w:drawing>
      </w:r>
    </w:p>
    <w:p>
      <w:pPr>
        <w:pStyle w:val="Normal"/>
        <w:spacing w:lineRule="auto" w:line="360" w:before="0" w:after="0"/>
        <w:ind w:left="1134" w:hanging="0"/>
        <w:jc w:val="both"/>
        <w:rPr>
          <w:rFonts w:ascii="Times New Roman" w:hAnsi="Times New Roman" w:cs="Times New Roman"/>
          <w:sz w:val="20"/>
          <w:szCs w:val="24"/>
        </w:rPr>
      </w:pPr>
      <w:r>
        <w:rPr>
          <w:rFonts w:cs="Times New Roman" w:ascii="Times New Roman" w:hAnsi="Times New Roman"/>
          <w:sz w:val="20"/>
          <w:szCs w:val="24"/>
        </w:rPr>
        <w:t>Fonte: RIOS e PADILHA (2007).</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Para uma dada temperatura, o valor de </w:t>
      </w:r>
      <w:r>
        <w:rPr>
          <w:rFonts w:cs="Times New Roman" w:ascii="Times New Roman" w:hAnsi="Times New Roman"/>
          <w:b/>
          <w:i/>
          <w:sz w:val="24"/>
          <w:szCs w:val="24"/>
        </w:rPr>
        <w:t xml:space="preserve">n </w:t>
      </w:r>
      <w:r>
        <w:rPr>
          <w:rFonts w:cs="Times New Roman" w:ascii="Times New Roman" w:hAnsi="Times New Roman"/>
          <w:sz w:val="24"/>
          <w:szCs w:val="24"/>
        </w:rPr>
        <w:t xml:space="preserve">é a inclinação da reta e </w:t>
      </w:r>
      <w:r>
        <w:rPr>
          <w:rFonts w:cs="Times New Roman" w:ascii="Times New Roman" w:hAnsi="Times New Roman"/>
          <w:b/>
          <w:i/>
          <w:sz w:val="24"/>
          <w:szCs w:val="24"/>
        </w:rPr>
        <w:t>k</w:t>
      </w:r>
      <w:r>
        <w:rPr>
          <w:rFonts w:cs="Times New Roman" w:ascii="Times New Roman" w:hAnsi="Times New Roman"/>
          <w:sz w:val="24"/>
          <w:szCs w:val="24"/>
        </w:rPr>
        <w:t xml:space="preserve"> é determinado a partir intercessão do gráfico </w:t>
      </w:r>
      <w:r>
        <w:rPr>
          <w:rFonts w:cs="Times New Roman" w:ascii="Times New Roman" w:hAnsi="Times New Roman"/>
          <w:b/>
          <w:i/>
          <w:sz w:val="24"/>
          <w:szCs w:val="24"/>
        </w:rPr>
        <w:t>ln[-ln(1-x)]</w:t>
      </w:r>
      <w:r>
        <w:rPr>
          <w:rFonts w:cs="Times New Roman" w:ascii="Times New Roman" w:hAnsi="Times New Roman"/>
          <w:sz w:val="24"/>
          <w:szCs w:val="24"/>
        </w:rPr>
        <w:t xml:space="preserve"> vs </w:t>
      </w:r>
      <w:r>
        <w:rPr>
          <w:rFonts w:cs="Times New Roman" w:ascii="Times New Roman" w:hAnsi="Times New Roman"/>
          <w:b/>
          <w:i/>
          <w:sz w:val="24"/>
          <w:szCs w:val="24"/>
        </w:rPr>
        <w:t>ln(t)</w:t>
      </w:r>
      <w:r>
        <w:rPr>
          <w:rFonts w:cs="Times New Roman" w:ascii="Times New Roman" w:hAnsi="Times New Roman"/>
          <w:sz w:val="24"/>
          <w:szCs w:val="24"/>
        </w:rPr>
        <w:t xml:space="preserve">. </w:t>
      </w:r>
    </w:p>
    <w:p>
      <w:pPr>
        <w:pStyle w:val="Normal"/>
        <w:spacing w:lineRule="auto" w:line="360" w:before="0" w:after="0"/>
        <w:ind w:firstLine="1134"/>
        <w:jc w:val="both"/>
        <w:rPr>
          <w:rFonts w:ascii="Times New Roman" w:hAnsi="Times New Roman" w:cs="Times New Roman"/>
          <w:color w:val="000000"/>
          <w:sz w:val="24"/>
          <w:szCs w:val="24"/>
          <w:highlight w:val="white"/>
        </w:rPr>
      </w:pPr>
      <w:r>
        <w:rPr>
          <w:rFonts w:cs="Times New Roman" w:ascii="Times New Roman" w:hAnsi="Times New Roman"/>
          <w:sz w:val="24"/>
        </w:rPr>
        <w:t xml:space="preserve">O expoente de Avrami </w:t>
      </w:r>
      <w:r>
        <w:rPr>
          <w:rFonts w:cs="Times New Roman" w:ascii="Times New Roman" w:hAnsi="Times New Roman"/>
          <w:b/>
          <w:i/>
          <w:sz w:val="24"/>
        </w:rPr>
        <w:t>n</w:t>
      </w:r>
      <w:r>
        <w:rPr>
          <w:rFonts w:cs="Times New Roman" w:ascii="Times New Roman" w:hAnsi="Times New Roman"/>
          <w:sz w:val="24"/>
        </w:rPr>
        <w:t xml:space="preserve">, é influenciado pelo tipo de nucleação, morfologia dos cristais e ocorrência de cristalização secundária. A equação de JMAK foi desenvolvida para cristais de geometrias tridimensional, plana e cilíndrica. Os valores de </w:t>
      </w:r>
      <w:r>
        <w:rPr>
          <w:rFonts w:cs="Times New Roman" w:ascii="Times New Roman" w:hAnsi="Times New Roman"/>
          <w:b/>
          <w:i/>
          <w:sz w:val="24"/>
        </w:rPr>
        <w:t>n</w:t>
      </w:r>
      <w:r>
        <w:rPr>
          <w:rFonts w:cs="Times New Roman" w:ascii="Times New Roman" w:hAnsi="Times New Roman"/>
          <w:sz w:val="24"/>
        </w:rPr>
        <w:t xml:space="preserve"> para cada geometria de crescimento e tipo de nucleação são apresentados na tabela 2 </w:t>
      </w:r>
      <w:r>
        <w:rPr>
          <w:rFonts w:cs="Times New Roman" w:ascii="Times New Roman" w:hAnsi="Times New Roman"/>
          <w:sz w:val="24"/>
          <w:szCs w:val="24"/>
        </w:rPr>
        <w:t>(</w:t>
      </w:r>
      <w:bookmarkStart w:id="138" w:name="_Hlk156988956"/>
      <w:r>
        <w:rPr>
          <w:rFonts w:cs="Times New Roman" w:ascii="Times New Roman" w:hAnsi="Times New Roman"/>
          <w:color w:val="000000"/>
          <w:sz w:val="24"/>
          <w:szCs w:val="24"/>
          <w:shd w:fill="FFFFFF" w:val="clear"/>
        </w:rPr>
        <w:t>Guimarães e Zanotto, 2003)</w:t>
      </w:r>
      <w:bookmarkEnd w:id="138"/>
      <w:r>
        <w:rPr>
          <w:rFonts w:cs="Times New Roman" w:ascii="Times New Roman" w:hAnsi="Times New Roman"/>
          <w:color w:val="000000"/>
          <w:sz w:val="24"/>
          <w:szCs w:val="24"/>
          <w:shd w:fill="FFFFFF" w:val="clear"/>
        </w:rPr>
        <w:t>.</w:t>
      </w:r>
    </w:p>
    <w:p>
      <w:pPr>
        <w:pStyle w:val="Normal"/>
        <w:spacing w:lineRule="auto" w:line="360" w:before="0" w:after="0"/>
        <w:ind w:firstLine="1134"/>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shd w:fill="FFFFFF" w:val="clear"/>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Tabela 2 - Parâmetros de JMAK para cristalização.</w:t>
      </w:r>
      <w:bookmarkStart w:id="139" w:name="_Hlk156897157"/>
      <w:bookmarkEnd w:id="139"/>
    </w:p>
    <w:tbl>
      <w:tblPr>
        <w:tblStyle w:val="Tabelacomgrade"/>
        <w:tblW w:w="8637" w:type="dxa"/>
        <w:jc w:val="center"/>
        <w:tblInd w:w="0" w:type="dxa"/>
        <w:tblCellMar>
          <w:top w:w="0" w:type="dxa"/>
          <w:left w:w="108" w:type="dxa"/>
          <w:bottom w:w="0" w:type="dxa"/>
          <w:right w:w="108" w:type="dxa"/>
        </w:tblCellMar>
        <w:tblLook w:noVBand="1" w:val="04a0" w:noHBand="0" w:lastColumn="0" w:firstColumn="1" w:lastRow="0" w:firstRow="1"/>
      </w:tblPr>
      <w:tblGrid>
        <w:gridCol w:w="1134"/>
        <w:gridCol w:w="3118"/>
        <w:gridCol w:w="2224"/>
        <w:gridCol w:w="1"/>
        <w:gridCol w:w="2159"/>
      </w:tblGrid>
      <w:tr>
        <w:trPr>
          <w:trHeight w:val="454" w:hRule="atLeast"/>
        </w:trPr>
        <w:tc>
          <w:tcPr>
            <w:tcW w:w="4252" w:type="dxa"/>
            <w:gridSpan w:val="2"/>
            <w:tcBorders>
              <w:left w:val="nil"/>
              <w:right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Mecanismo de Cristalização</w:t>
            </w:r>
          </w:p>
        </w:tc>
        <w:tc>
          <w:tcPr>
            <w:tcW w:w="2224" w:type="dxa"/>
            <w:tcBorders>
              <w:left w:val="nil"/>
              <w:right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 xml:space="preserve">Constante de Avrami </w:t>
            </w:r>
            <w:r>
              <w:rPr>
                <w:rFonts w:eastAsia="SimSun" w:cs="Times New Roman" w:ascii="Times New Roman" w:hAnsi="Times New Roman"/>
                <w:b/>
                <w:i/>
                <w:sz w:val="20"/>
                <w:szCs w:val="24"/>
                <w:lang w:eastAsia="pt-BR"/>
              </w:rPr>
              <w:t>n</w:t>
            </w:r>
          </w:p>
        </w:tc>
        <w:tc>
          <w:tcPr>
            <w:tcW w:w="2160" w:type="dxa"/>
            <w:gridSpan w:val="2"/>
            <w:tcBorders>
              <w:left w:val="nil"/>
              <w:right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Morfologia dos Cristais</w:t>
            </w:r>
          </w:p>
        </w:tc>
      </w:tr>
      <w:tr>
        <w:trPr>
          <w:trHeight w:val="454" w:hRule="atLeast"/>
        </w:trPr>
        <w:tc>
          <w:tcPr>
            <w:tcW w:w="1134" w:type="dxa"/>
            <w:tcBorders>
              <w:left w:val="nil"/>
              <w:bottom w:val="nil"/>
              <w:right w:val="nil"/>
              <w:insideH w:val="nil"/>
              <w:insideV w:val="nil"/>
            </w:tcBorders>
            <w:shd w:fill="auto" w:val="clear"/>
            <w:vAlign w:val="center"/>
          </w:tcPr>
          <w:p>
            <w:pPr>
              <w:pStyle w:val="Normal"/>
              <w:spacing w:lineRule="auto" w:line="360" w:before="0" w:after="0"/>
              <w:jc w:val="both"/>
              <w:rPr>
                <w:szCs w:val="24"/>
              </w:rPr>
            </w:pPr>
            <w:r>
              <w:rPr>
                <w:rFonts w:eastAsia="SimSun" w:cs="Times New Roman" w:ascii="Times New Roman" w:hAnsi="Times New Roman"/>
                <w:sz w:val="20"/>
                <w:szCs w:val="24"/>
                <w:lang w:eastAsia="pt-BR"/>
              </w:rPr>
              <w:t>Esferas</w:t>
            </w:r>
          </w:p>
        </w:tc>
        <w:tc>
          <w:tcPr>
            <w:tcW w:w="3118" w:type="dxa"/>
            <w:tcBorders>
              <w:left w:val="nil"/>
              <w:bottom w:val="nil"/>
              <w:right w:val="nil"/>
              <w:insideH w:val="nil"/>
              <w:insideV w:val="nil"/>
            </w:tcBorders>
            <w:shd w:fill="auto" w:val="clear"/>
            <w:vAlign w:val="center"/>
          </w:tcPr>
          <w:p>
            <w:pPr>
              <w:pStyle w:val="Normal"/>
              <w:spacing w:lineRule="auto" w:line="360" w:before="0" w:after="0"/>
              <w:jc w:val="both"/>
              <w:rPr>
                <w:szCs w:val="24"/>
              </w:rPr>
            </w:pPr>
            <w:r>
              <w:rPr>
                <w:rFonts w:eastAsia="SimSun" w:cs="Times New Roman" w:ascii="Times New Roman" w:hAnsi="Times New Roman"/>
                <w:sz w:val="20"/>
                <w:szCs w:val="24"/>
                <w:lang w:eastAsia="pt-BR"/>
              </w:rPr>
              <w:t>Esporádico/homogêneo</w:t>
            </w:r>
          </w:p>
        </w:tc>
        <w:tc>
          <w:tcPr>
            <w:tcW w:w="2225" w:type="dxa"/>
            <w:gridSpan w:val="2"/>
            <w:tcBorders>
              <w:left w:val="nil"/>
              <w:bottom w:val="nil"/>
              <w:right w:val="nil"/>
              <w:insideH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4</w:t>
            </w:r>
          </w:p>
        </w:tc>
        <w:tc>
          <w:tcPr>
            <w:tcW w:w="2159" w:type="dxa"/>
            <w:tcBorders>
              <w:left w:val="nil"/>
              <w:bottom w:val="nil"/>
              <w:right w:val="nil"/>
              <w:insideH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Tridimensional</w:t>
            </w:r>
          </w:p>
        </w:tc>
      </w:tr>
      <w:tr>
        <w:trPr>
          <w:trHeight w:val="454" w:hRule="atLeast"/>
        </w:trPr>
        <w:tc>
          <w:tcPr>
            <w:tcW w:w="1134" w:type="dxa"/>
            <w:tcBorders>
              <w:top w:val="nil"/>
              <w:left w:val="nil"/>
              <w:bottom w:val="nil"/>
              <w:right w:val="nil"/>
              <w:insideH w:val="nil"/>
              <w:insideV w:val="nil"/>
            </w:tcBorders>
            <w:shd w:fill="auto" w:val="clear"/>
            <w:vAlign w:val="center"/>
          </w:tcPr>
          <w:p>
            <w:pPr>
              <w:pStyle w:val="Normal"/>
              <w:spacing w:lineRule="auto" w:line="360" w:before="0" w:after="0"/>
              <w:jc w:val="both"/>
              <w:rPr>
                <w:rFonts w:ascii="Times New Roman" w:hAnsi="Times New Roman" w:eastAsia="SimSun" w:cs="Times New Roman"/>
                <w:sz w:val="20"/>
                <w:szCs w:val="20"/>
                <w:lang w:eastAsia="pt-BR"/>
              </w:rPr>
            </w:pPr>
            <w:r>
              <w:rPr>
                <w:rFonts w:eastAsia="SimSun" w:cs="Times New Roman" w:ascii="Times New Roman" w:hAnsi="Times New Roman"/>
                <w:sz w:val="20"/>
                <w:szCs w:val="20"/>
                <w:lang w:eastAsia="pt-BR"/>
              </w:rPr>
            </w:r>
          </w:p>
        </w:tc>
        <w:tc>
          <w:tcPr>
            <w:tcW w:w="3118" w:type="dxa"/>
            <w:tcBorders>
              <w:top w:val="nil"/>
              <w:left w:val="nil"/>
              <w:bottom w:val="nil"/>
              <w:right w:val="nil"/>
              <w:insideH w:val="nil"/>
              <w:insideV w:val="nil"/>
            </w:tcBorders>
            <w:shd w:fill="auto" w:val="clear"/>
            <w:vAlign w:val="center"/>
          </w:tcPr>
          <w:p>
            <w:pPr>
              <w:pStyle w:val="Normal"/>
              <w:spacing w:lineRule="auto" w:line="360" w:before="0" w:after="0"/>
              <w:jc w:val="both"/>
              <w:rPr>
                <w:szCs w:val="24"/>
              </w:rPr>
            </w:pPr>
            <w:r>
              <w:rPr>
                <w:rFonts w:eastAsia="SimSun" w:cs="Times New Roman" w:ascii="Times New Roman" w:hAnsi="Times New Roman"/>
                <w:sz w:val="20"/>
                <w:szCs w:val="24"/>
                <w:lang w:eastAsia="pt-BR"/>
              </w:rPr>
              <w:t>Pré-determinado/heterogêneo</w:t>
            </w:r>
          </w:p>
        </w:tc>
        <w:tc>
          <w:tcPr>
            <w:tcW w:w="2225" w:type="dxa"/>
            <w:gridSpan w:val="2"/>
            <w:tcBorders>
              <w:top w:val="nil"/>
              <w:left w:val="nil"/>
              <w:bottom w:val="nil"/>
              <w:right w:val="nil"/>
              <w:insideH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3</w:t>
            </w:r>
          </w:p>
        </w:tc>
        <w:tc>
          <w:tcPr>
            <w:tcW w:w="2159" w:type="dxa"/>
            <w:tcBorders>
              <w:top w:val="nil"/>
              <w:left w:val="nil"/>
              <w:bottom w:val="nil"/>
              <w:right w:val="nil"/>
              <w:insideH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Tridimensional</w:t>
            </w:r>
          </w:p>
        </w:tc>
      </w:tr>
      <w:tr>
        <w:trPr>
          <w:trHeight w:val="454" w:hRule="atLeast"/>
        </w:trPr>
        <w:tc>
          <w:tcPr>
            <w:tcW w:w="1134" w:type="dxa"/>
            <w:tcBorders>
              <w:top w:val="nil"/>
              <w:left w:val="nil"/>
              <w:bottom w:val="nil"/>
              <w:right w:val="nil"/>
              <w:insideH w:val="nil"/>
              <w:insideV w:val="nil"/>
            </w:tcBorders>
            <w:shd w:fill="auto" w:val="clear"/>
            <w:vAlign w:val="center"/>
          </w:tcPr>
          <w:p>
            <w:pPr>
              <w:pStyle w:val="Normal"/>
              <w:spacing w:lineRule="auto" w:line="360" w:before="0" w:after="0"/>
              <w:jc w:val="both"/>
              <w:rPr>
                <w:szCs w:val="24"/>
              </w:rPr>
            </w:pPr>
            <w:r>
              <w:rPr>
                <w:rFonts w:eastAsia="SimSun" w:cs="Times New Roman" w:ascii="Times New Roman" w:hAnsi="Times New Roman"/>
                <w:sz w:val="20"/>
                <w:szCs w:val="24"/>
                <w:lang w:eastAsia="pt-BR"/>
              </w:rPr>
              <w:t xml:space="preserve">Discos </w:t>
            </w:r>
          </w:p>
        </w:tc>
        <w:tc>
          <w:tcPr>
            <w:tcW w:w="3118" w:type="dxa"/>
            <w:tcBorders>
              <w:top w:val="nil"/>
              <w:left w:val="nil"/>
              <w:bottom w:val="nil"/>
              <w:right w:val="nil"/>
              <w:insideH w:val="nil"/>
              <w:insideV w:val="nil"/>
            </w:tcBorders>
            <w:shd w:fill="auto" w:val="clear"/>
            <w:vAlign w:val="center"/>
          </w:tcPr>
          <w:p>
            <w:pPr>
              <w:pStyle w:val="Normal"/>
              <w:spacing w:lineRule="auto" w:line="360" w:before="0" w:after="0"/>
              <w:jc w:val="both"/>
              <w:rPr>
                <w:szCs w:val="24"/>
              </w:rPr>
            </w:pPr>
            <w:r>
              <w:rPr>
                <w:rFonts w:eastAsia="SimSun" w:cs="Times New Roman" w:ascii="Times New Roman" w:hAnsi="Times New Roman"/>
                <w:sz w:val="20"/>
                <w:szCs w:val="24"/>
                <w:lang w:eastAsia="pt-BR"/>
              </w:rPr>
              <w:t>Esporádico/homogêneo</w:t>
            </w:r>
          </w:p>
        </w:tc>
        <w:tc>
          <w:tcPr>
            <w:tcW w:w="2225" w:type="dxa"/>
            <w:gridSpan w:val="2"/>
            <w:tcBorders>
              <w:top w:val="nil"/>
              <w:left w:val="nil"/>
              <w:bottom w:val="nil"/>
              <w:right w:val="nil"/>
              <w:insideH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3</w:t>
            </w:r>
          </w:p>
        </w:tc>
        <w:tc>
          <w:tcPr>
            <w:tcW w:w="2159" w:type="dxa"/>
            <w:tcBorders>
              <w:top w:val="nil"/>
              <w:left w:val="nil"/>
              <w:bottom w:val="nil"/>
              <w:right w:val="nil"/>
              <w:insideH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Bidimensional</w:t>
            </w:r>
          </w:p>
        </w:tc>
      </w:tr>
      <w:tr>
        <w:trPr>
          <w:trHeight w:val="454" w:hRule="atLeast"/>
        </w:trPr>
        <w:tc>
          <w:tcPr>
            <w:tcW w:w="1134" w:type="dxa"/>
            <w:tcBorders>
              <w:top w:val="nil"/>
              <w:left w:val="nil"/>
              <w:bottom w:val="nil"/>
              <w:right w:val="nil"/>
              <w:insideH w:val="nil"/>
              <w:insideV w:val="nil"/>
            </w:tcBorders>
            <w:shd w:fill="auto" w:val="clear"/>
            <w:vAlign w:val="center"/>
          </w:tcPr>
          <w:p>
            <w:pPr>
              <w:pStyle w:val="Normal"/>
              <w:spacing w:lineRule="auto" w:line="360" w:before="0" w:after="0"/>
              <w:jc w:val="both"/>
              <w:rPr>
                <w:rFonts w:ascii="Times New Roman" w:hAnsi="Times New Roman" w:eastAsia="SimSun" w:cs="Times New Roman"/>
                <w:sz w:val="20"/>
                <w:szCs w:val="20"/>
                <w:lang w:eastAsia="pt-BR"/>
              </w:rPr>
            </w:pPr>
            <w:r>
              <w:rPr>
                <w:rFonts w:eastAsia="SimSun" w:cs="Times New Roman" w:ascii="Times New Roman" w:hAnsi="Times New Roman"/>
                <w:sz w:val="20"/>
                <w:szCs w:val="20"/>
                <w:lang w:eastAsia="pt-BR"/>
              </w:rPr>
            </w:r>
          </w:p>
        </w:tc>
        <w:tc>
          <w:tcPr>
            <w:tcW w:w="3118" w:type="dxa"/>
            <w:tcBorders>
              <w:top w:val="nil"/>
              <w:left w:val="nil"/>
              <w:bottom w:val="nil"/>
              <w:right w:val="nil"/>
              <w:insideH w:val="nil"/>
              <w:insideV w:val="nil"/>
            </w:tcBorders>
            <w:shd w:fill="auto" w:val="clear"/>
            <w:vAlign w:val="center"/>
          </w:tcPr>
          <w:p>
            <w:pPr>
              <w:pStyle w:val="Normal"/>
              <w:spacing w:lineRule="auto" w:line="360" w:before="0" w:after="0"/>
              <w:jc w:val="both"/>
              <w:rPr>
                <w:szCs w:val="24"/>
              </w:rPr>
            </w:pPr>
            <w:r>
              <w:rPr>
                <w:rFonts w:eastAsia="SimSun" w:cs="Times New Roman" w:ascii="Times New Roman" w:hAnsi="Times New Roman"/>
                <w:sz w:val="20"/>
                <w:szCs w:val="24"/>
                <w:lang w:eastAsia="pt-BR"/>
              </w:rPr>
              <w:t>Pré-determinado/heterogêneo</w:t>
            </w:r>
          </w:p>
        </w:tc>
        <w:tc>
          <w:tcPr>
            <w:tcW w:w="2225" w:type="dxa"/>
            <w:gridSpan w:val="2"/>
            <w:tcBorders>
              <w:top w:val="nil"/>
              <w:left w:val="nil"/>
              <w:bottom w:val="nil"/>
              <w:right w:val="nil"/>
              <w:insideH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2</w:t>
            </w:r>
          </w:p>
        </w:tc>
        <w:tc>
          <w:tcPr>
            <w:tcW w:w="2159" w:type="dxa"/>
            <w:tcBorders>
              <w:top w:val="nil"/>
              <w:left w:val="nil"/>
              <w:bottom w:val="nil"/>
              <w:right w:val="nil"/>
              <w:insideH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Bidimensional</w:t>
            </w:r>
          </w:p>
        </w:tc>
      </w:tr>
      <w:tr>
        <w:trPr>
          <w:trHeight w:val="454" w:hRule="atLeast"/>
        </w:trPr>
        <w:tc>
          <w:tcPr>
            <w:tcW w:w="1134" w:type="dxa"/>
            <w:tcBorders>
              <w:top w:val="nil"/>
              <w:left w:val="nil"/>
              <w:bottom w:val="nil"/>
              <w:right w:val="nil"/>
              <w:insideH w:val="nil"/>
              <w:insideV w:val="nil"/>
            </w:tcBorders>
            <w:shd w:fill="auto" w:val="clear"/>
            <w:vAlign w:val="center"/>
          </w:tcPr>
          <w:p>
            <w:pPr>
              <w:pStyle w:val="Normal"/>
              <w:spacing w:lineRule="auto" w:line="360" w:before="0" w:after="0"/>
              <w:jc w:val="both"/>
              <w:rPr>
                <w:szCs w:val="24"/>
              </w:rPr>
            </w:pPr>
            <w:r>
              <w:rPr>
                <w:rFonts w:eastAsia="SimSun" w:cs="Times New Roman" w:ascii="Times New Roman" w:hAnsi="Times New Roman"/>
                <w:sz w:val="20"/>
                <w:szCs w:val="24"/>
                <w:lang w:eastAsia="pt-BR"/>
              </w:rPr>
              <w:t>Cilindros</w:t>
            </w:r>
          </w:p>
        </w:tc>
        <w:tc>
          <w:tcPr>
            <w:tcW w:w="3118" w:type="dxa"/>
            <w:tcBorders>
              <w:top w:val="nil"/>
              <w:left w:val="nil"/>
              <w:bottom w:val="nil"/>
              <w:right w:val="nil"/>
              <w:insideH w:val="nil"/>
              <w:insideV w:val="nil"/>
            </w:tcBorders>
            <w:shd w:fill="auto" w:val="clear"/>
            <w:vAlign w:val="center"/>
          </w:tcPr>
          <w:p>
            <w:pPr>
              <w:pStyle w:val="Normal"/>
              <w:spacing w:lineRule="auto" w:line="360" w:before="0" w:after="0"/>
              <w:jc w:val="both"/>
              <w:rPr>
                <w:szCs w:val="24"/>
              </w:rPr>
            </w:pPr>
            <w:r>
              <w:rPr>
                <w:rFonts w:eastAsia="SimSun" w:cs="Times New Roman" w:ascii="Times New Roman" w:hAnsi="Times New Roman"/>
                <w:sz w:val="20"/>
                <w:szCs w:val="24"/>
                <w:lang w:eastAsia="pt-BR"/>
              </w:rPr>
              <w:t>Esporádico/homogêneo</w:t>
            </w:r>
          </w:p>
        </w:tc>
        <w:tc>
          <w:tcPr>
            <w:tcW w:w="2225" w:type="dxa"/>
            <w:gridSpan w:val="2"/>
            <w:tcBorders>
              <w:top w:val="nil"/>
              <w:left w:val="nil"/>
              <w:bottom w:val="nil"/>
              <w:right w:val="nil"/>
              <w:insideH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2</w:t>
            </w:r>
          </w:p>
        </w:tc>
        <w:tc>
          <w:tcPr>
            <w:tcW w:w="2159" w:type="dxa"/>
            <w:tcBorders>
              <w:top w:val="nil"/>
              <w:left w:val="nil"/>
              <w:bottom w:val="nil"/>
              <w:right w:val="nil"/>
              <w:insideH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Unidimensional</w:t>
            </w:r>
          </w:p>
        </w:tc>
      </w:tr>
      <w:tr>
        <w:trPr>
          <w:trHeight w:val="454" w:hRule="atLeast"/>
        </w:trPr>
        <w:tc>
          <w:tcPr>
            <w:tcW w:w="1134" w:type="dxa"/>
            <w:tcBorders>
              <w:top w:val="nil"/>
              <w:left w:val="nil"/>
              <w:right w:val="nil"/>
              <w:insideV w:val="nil"/>
            </w:tcBorders>
            <w:shd w:fill="auto" w:val="clear"/>
            <w:vAlign w:val="center"/>
          </w:tcPr>
          <w:p>
            <w:pPr>
              <w:pStyle w:val="Normal"/>
              <w:spacing w:lineRule="auto" w:line="360" w:before="0" w:after="0"/>
              <w:jc w:val="both"/>
              <w:rPr>
                <w:rFonts w:ascii="Times New Roman" w:hAnsi="Times New Roman" w:eastAsia="SimSun" w:cs="Times New Roman"/>
                <w:sz w:val="20"/>
                <w:szCs w:val="20"/>
                <w:lang w:eastAsia="pt-BR"/>
              </w:rPr>
            </w:pPr>
            <w:r>
              <w:rPr>
                <w:rFonts w:eastAsia="SimSun" w:cs="Times New Roman" w:ascii="Times New Roman" w:hAnsi="Times New Roman"/>
                <w:sz w:val="20"/>
                <w:szCs w:val="20"/>
                <w:lang w:eastAsia="pt-BR"/>
              </w:rPr>
            </w:r>
          </w:p>
        </w:tc>
        <w:tc>
          <w:tcPr>
            <w:tcW w:w="3118" w:type="dxa"/>
            <w:tcBorders>
              <w:top w:val="nil"/>
              <w:left w:val="nil"/>
              <w:right w:val="nil"/>
              <w:insideV w:val="nil"/>
            </w:tcBorders>
            <w:shd w:fill="auto" w:val="clear"/>
            <w:vAlign w:val="center"/>
          </w:tcPr>
          <w:p>
            <w:pPr>
              <w:pStyle w:val="Normal"/>
              <w:spacing w:lineRule="auto" w:line="360" w:before="0" w:after="0"/>
              <w:jc w:val="both"/>
              <w:rPr>
                <w:szCs w:val="24"/>
              </w:rPr>
            </w:pPr>
            <w:r>
              <w:rPr>
                <w:rFonts w:eastAsia="SimSun" w:cs="Times New Roman" w:ascii="Times New Roman" w:hAnsi="Times New Roman"/>
                <w:sz w:val="20"/>
                <w:szCs w:val="24"/>
                <w:lang w:eastAsia="pt-BR"/>
              </w:rPr>
              <w:t>Pré-determinado/heterogêneo</w:t>
            </w:r>
          </w:p>
        </w:tc>
        <w:tc>
          <w:tcPr>
            <w:tcW w:w="2225" w:type="dxa"/>
            <w:gridSpan w:val="2"/>
            <w:tcBorders>
              <w:top w:val="nil"/>
              <w:left w:val="nil"/>
              <w:right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1</w:t>
            </w:r>
          </w:p>
        </w:tc>
        <w:tc>
          <w:tcPr>
            <w:tcW w:w="2159" w:type="dxa"/>
            <w:tcBorders>
              <w:top w:val="nil"/>
              <w:left w:val="nil"/>
              <w:right w:val="nil"/>
              <w:insideV w:val="nil"/>
            </w:tcBorders>
            <w:shd w:fill="auto" w:val="clear"/>
            <w:vAlign w:val="center"/>
          </w:tcPr>
          <w:p>
            <w:pPr>
              <w:pStyle w:val="Normal"/>
              <w:spacing w:lineRule="auto" w:line="360" w:before="0" w:after="0"/>
              <w:jc w:val="center"/>
              <w:rPr>
                <w:szCs w:val="24"/>
              </w:rPr>
            </w:pPr>
            <w:r>
              <w:rPr>
                <w:rFonts w:eastAsia="SimSun" w:cs="Times New Roman" w:ascii="Times New Roman" w:hAnsi="Times New Roman"/>
                <w:sz w:val="20"/>
                <w:szCs w:val="24"/>
                <w:lang w:eastAsia="pt-BR"/>
              </w:rPr>
              <w:t>Unidimensional</w:t>
            </w:r>
          </w:p>
        </w:tc>
      </w:tr>
    </w:tbl>
    <w:p>
      <w:pPr>
        <w:pStyle w:val="Normal"/>
        <w:spacing w:lineRule="auto" w:line="240" w:before="240" w:after="0"/>
        <w:jc w:val="both"/>
        <w:rPr>
          <w:rFonts w:ascii="Times New Roman" w:hAnsi="Times New Roman" w:cs="Times New Roman"/>
          <w:sz w:val="20"/>
          <w:szCs w:val="24"/>
        </w:rPr>
      </w:pPr>
      <w:r>
        <w:rPr>
          <w:rFonts w:cs="Times New Roman" w:ascii="Times New Roman" w:hAnsi="Times New Roman"/>
          <w:color w:val="000000"/>
          <w:sz w:val="20"/>
          <w:szCs w:val="24"/>
          <w:shd w:fill="FFFFFF" w:val="clear"/>
        </w:rPr>
        <w:t>Fonte: GUIMARÃES E ZANOTTO (2003, com adaptação)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360"/>
        <w:ind w:firstLine="1134"/>
        <w:jc w:val="both"/>
        <w:rPr>
          <w:rFonts w:ascii="Times New Roman" w:hAnsi="Times New Roman" w:cs="Times New Roman"/>
          <w:sz w:val="24"/>
          <w:szCs w:val="24"/>
        </w:rPr>
      </w:pPr>
      <w:r>
        <w:rPr>
          <w:rFonts w:cs="Times New Roman" w:ascii="Times New Roman" w:hAnsi="Times New Roman"/>
          <w:sz w:val="24"/>
          <w:szCs w:val="24"/>
        </w:rPr>
        <w:t xml:space="preserve">Os valores para o expoente de Avrami </w:t>
      </w:r>
      <w:r>
        <w:rPr>
          <w:rFonts w:cs="Times New Roman" w:ascii="Times New Roman" w:hAnsi="Times New Roman"/>
          <w:b/>
          <w:i/>
          <w:sz w:val="24"/>
          <w:szCs w:val="24"/>
        </w:rPr>
        <w:t>n</w:t>
      </w:r>
      <w:r>
        <w:rPr>
          <w:rFonts w:cs="Times New Roman" w:ascii="Times New Roman" w:hAnsi="Times New Roman"/>
          <w:sz w:val="24"/>
          <w:szCs w:val="24"/>
        </w:rPr>
        <w:t>, geralmente são encontrados fracionados e podem ser devido aos desvios que são atribuídos a processos de cristalização em</w:t>
      </w:r>
      <w:r>
        <w:rPr>
          <w:rFonts w:cs="Times New Roman" w:ascii="Times New Roman" w:hAnsi="Times New Roman"/>
          <w:spacing w:val="40"/>
          <w:sz w:val="24"/>
          <w:szCs w:val="24"/>
        </w:rPr>
        <w:t xml:space="preserve"> </w:t>
      </w:r>
      <w:r>
        <w:rPr>
          <w:rFonts w:cs="Times New Roman" w:ascii="Times New Roman" w:hAnsi="Times New Roman"/>
          <w:sz w:val="24"/>
          <w:szCs w:val="24"/>
        </w:rPr>
        <w:t>que ocorrem os seguintes eventos:</w:t>
      </w:r>
    </w:p>
    <w:p>
      <w:pPr>
        <w:pStyle w:val="Corpodetexto"/>
        <w:numPr>
          <w:ilvl w:val="0"/>
          <w:numId w:val="4"/>
        </w:numPr>
        <w:tabs>
          <w:tab w:val="left" w:pos="1418" w:leader="none"/>
        </w:tabs>
        <w:spacing w:lineRule="auto" w:line="360"/>
        <w:ind w:left="1134" w:hanging="11"/>
        <w:jc w:val="both"/>
        <w:rPr>
          <w:rFonts w:ascii="Times New Roman" w:hAnsi="Times New Roman" w:cs="Times New Roman"/>
          <w:sz w:val="24"/>
          <w:szCs w:val="24"/>
        </w:rPr>
      </w:pPr>
      <w:r>
        <w:rPr>
          <w:rFonts w:cs="Times New Roman" w:ascii="Times New Roman" w:hAnsi="Times New Roman"/>
          <w:sz w:val="24"/>
          <w:szCs w:val="24"/>
        </w:rPr>
        <w:t>Crescimento</w:t>
      </w:r>
      <w:r>
        <w:rPr>
          <w:rFonts w:cs="Times New Roman" w:ascii="Times New Roman" w:hAnsi="Times New Roman"/>
          <w:spacing w:val="80"/>
          <w:sz w:val="24"/>
          <w:szCs w:val="24"/>
        </w:rPr>
        <w:t xml:space="preserve"> </w:t>
      </w:r>
      <w:r>
        <w:rPr>
          <w:rFonts w:cs="Times New Roman" w:ascii="Times New Roman" w:hAnsi="Times New Roman"/>
          <w:sz w:val="24"/>
          <w:szCs w:val="24"/>
        </w:rPr>
        <w:t>simultâneo</w:t>
      </w:r>
      <w:r>
        <w:rPr>
          <w:rFonts w:cs="Times New Roman" w:ascii="Times New Roman" w:hAnsi="Times New Roman"/>
          <w:spacing w:val="80"/>
          <w:sz w:val="24"/>
          <w:szCs w:val="24"/>
        </w:rPr>
        <w:t xml:space="preserve"> </w:t>
      </w:r>
      <w:r>
        <w:rPr>
          <w:rFonts w:cs="Times New Roman" w:ascii="Times New Roman" w:hAnsi="Times New Roman"/>
          <w:sz w:val="24"/>
          <w:szCs w:val="24"/>
        </w:rPr>
        <w:t>ou</w:t>
      </w:r>
      <w:r>
        <w:rPr>
          <w:rFonts w:cs="Times New Roman" w:ascii="Times New Roman" w:hAnsi="Times New Roman"/>
          <w:spacing w:val="80"/>
          <w:sz w:val="24"/>
          <w:szCs w:val="24"/>
        </w:rPr>
        <w:t xml:space="preserve"> </w:t>
      </w:r>
      <w:r>
        <w:rPr>
          <w:rFonts w:cs="Times New Roman" w:ascii="Times New Roman" w:hAnsi="Times New Roman"/>
          <w:sz w:val="24"/>
          <w:szCs w:val="24"/>
        </w:rPr>
        <w:t>consecutivos</w:t>
      </w:r>
      <w:r>
        <w:rPr>
          <w:rFonts w:cs="Times New Roman" w:ascii="Times New Roman" w:hAnsi="Times New Roman"/>
          <w:spacing w:val="80"/>
          <w:sz w:val="24"/>
          <w:szCs w:val="24"/>
        </w:rPr>
        <w:t xml:space="preserve"> </w:t>
      </w:r>
      <w:r>
        <w:rPr>
          <w:rFonts w:cs="Times New Roman" w:ascii="Times New Roman" w:hAnsi="Times New Roman"/>
          <w:sz w:val="24"/>
          <w:szCs w:val="24"/>
        </w:rPr>
        <w:t>de</w:t>
      </w:r>
      <w:r>
        <w:rPr>
          <w:rFonts w:cs="Times New Roman" w:ascii="Times New Roman" w:hAnsi="Times New Roman"/>
          <w:spacing w:val="80"/>
          <w:sz w:val="24"/>
          <w:szCs w:val="24"/>
        </w:rPr>
        <w:t xml:space="preserve"> </w:t>
      </w:r>
      <w:r>
        <w:rPr>
          <w:rFonts w:cs="Times New Roman" w:ascii="Times New Roman" w:hAnsi="Times New Roman"/>
          <w:sz w:val="24"/>
          <w:szCs w:val="24"/>
        </w:rPr>
        <w:t>dois</w:t>
      </w:r>
      <w:r>
        <w:rPr>
          <w:rFonts w:cs="Times New Roman" w:ascii="Times New Roman" w:hAnsi="Times New Roman"/>
          <w:spacing w:val="80"/>
          <w:sz w:val="24"/>
          <w:szCs w:val="24"/>
        </w:rPr>
        <w:t xml:space="preserve"> </w:t>
      </w:r>
      <w:r>
        <w:rPr>
          <w:rFonts w:cs="Times New Roman" w:ascii="Times New Roman" w:hAnsi="Times New Roman"/>
          <w:sz w:val="24"/>
          <w:szCs w:val="24"/>
        </w:rPr>
        <w:t>tipos</w:t>
      </w:r>
      <w:r>
        <w:rPr>
          <w:rFonts w:cs="Times New Roman" w:ascii="Times New Roman" w:hAnsi="Times New Roman"/>
          <w:spacing w:val="80"/>
          <w:sz w:val="24"/>
          <w:szCs w:val="24"/>
        </w:rPr>
        <w:t xml:space="preserve"> </w:t>
      </w:r>
      <w:r>
        <w:rPr>
          <w:rFonts w:cs="Times New Roman" w:ascii="Times New Roman" w:hAnsi="Times New Roman"/>
          <w:sz w:val="24"/>
          <w:szCs w:val="24"/>
        </w:rPr>
        <w:t>diferentes</w:t>
      </w:r>
      <w:r>
        <w:rPr>
          <w:rFonts w:cs="Times New Roman" w:ascii="Times New Roman" w:hAnsi="Times New Roman"/>
          <w:spacing w:val="80"/>
          <w:sz w:val="24"/>
          <w:szCs w:val="24"/>
        </w:rPr>
        <w:t xml:space="preserve"> </w:t>
      </w:r>
      <w:r>
        <w:rPr>
          <w:rFonts w:cs="Times New Roman" w:ascii="Times New Roman" w:hAnsi="Times New Roman"/>
          <w:sz w:val="24"/>
          <w:szCs w:val="24"/>
        </w:rPr>
        <w:t>de estruturas cristalinas;</w:t>
      </w:r>
    </w:p>
    <w:p>
      <w:pPr>
        <w:pStyle w:val="Corpodetexto"/>
        <w:numPr>
          <w:ilvl w:val="0"/>
          <w:numId w:val="4"/>
        </w:numPr>
        <w:tabs>
          <w:tab w:val="left" w:pos="1418" w:leader="none"/>
        </w:tabs>
        <w:spacing w:lineRule="auto" w:line="360" w:before="14" w:after="140"/>
        <w:ind w:left="1134" w:hanging="11"/>
        <w:jc w:val="both"/>
        <w:rPr>
          <w:rFonts w:ascii="Times New Roman" w:hAnsi="Times New Roman" w:cs="Times New Roman"/>
          <w:sz w:val="24"/>
          <w:szCs w:val="24"/>
        </w:rPr>
      </w:pPr>
      <w:r>
        <w:rPr>
          <w:rFonts w:cs="Times New Roman" w:ascii="Times New Roman" w:hAnsi="Times New Roman"/>
          <w:sz w:val="24"/>
          <w:szCs w:val="24"/>
        </w:rPr>
        <w:t>Formação</w:t>
      </w:r>
      <w:r>
        <w:rPr>
          <w:rFonts w:cs="Times New Roman" w:ascii="Times New Roman" w:hAnsi="Times New Roman"/>
          <w:spacing w:val="40"/>
          <w:sz w:val="24"/>
          <w:szCs w:val="24"/>
        </w:rPr>
        <w:t xml:space="preserve"> </w:t>
      </w:r>
      <w:r>
        <w:rPr>
          <w:rFonts w:cs="Times New Roman" w:ascii="Times New Roman" w:hAnsi="Times New Roman"/>
          <w:sz w:val="24"/>
          <w:szCs w:val="24"/>
        </w:rPr>
        <w:t>simultânea</w:t>
      </w:r>
      <w:r>
        <w:rPr>
          <w:rFonts w:cs="Times New Roman" w:ascii="Times New Roman" w:hAnsi="Times New Roman"/>
          <w:spacing w:val="40"/>
          <w:sz w:val="24"/>
          <w:szCs w:val="24"/>
        </w:rPr>
        <w:t xml:space="preserve"> </w:t>
      </w:r>
      <w:r>
        <w:rPr>
          <w:rFonts w:cs="Times New Roman" w:ascii="Times New Roman" w:hAnsi="Times New Roman"/>
          <w:sz w:val="24"/>
          <w:szCs w:val="24"/>
        </w:rPr>
        <w:t>de</w:t>
      </w:r>
      <w:r>
        <w:rPr>
          <w:rFonts w:cs="Times New Roman" w:ascii="Times New Roman" w:hAnsi="Times New Roman"/>
          <w:spacing w:val="40"/>
          <w:sz w:val="24"/>
          <w:szCs w:val="24"/>
        </w:rPr>
        <w:t xml:space="preserve"> </w:t>
      </w:r>
      <w:r>
        <w:rPr>
          <w:rFonts w:cs="Times New Roman" w:ascii="Times New Roman" w:hAnsi="Times New Roman"/>
          <w:sz w:val="24"/>
          <w:szCs w:val="24"/>
        </w:rPr>
        <w:t>unidades</w:t>
      </w:r>
      <w:r>
        <w:rPr>
          <w:rFonts w:cs="Times New Roman" w:ascii="Times New Roman" w:hAnsi="Times New Roman"/>
          <w:spacing w:val="40"/>
          <w:sz w:val="24"/>
          <w:szCs w:val="24"/>
        </w:rPr>
        <w:t xml:space="preserve"> </w:t>
      </w:r>
      <w:r>
        <w:rPr>
          <w:rFonts w:cs="Times New Roman" w:ascii="Times New Roman" w:hAnsi="Times New Roman"/>
          <w:sz w:val="24"/>
          <w:szCs w:val="24"/>
        </w:rPr>
        <w:t>com</w:t>
      </w:r>
      <w:r>
        <w:rPr>
          <w:rFonts w:cs="Times New Roman" w:ascii="Times New Roman" w:hAnsi="Times New Roman"/>
          <w:spacing w:val="40"/>
          <w:sz w:val="24"/>
          <w:szCs w:val="24"/>
        </w:rPr>
        <w:t xml:space="preserve"> </w:t>
      </w:r>
      <w:r>
        <w:rPr>
          <w:rFonts w:cs="Times New Roman" w:ascii="Times New Roman" w:hAnsi="Times New Roman"/>
          <w:sz w:val="24"/>
          <w:szCs w:val="24"/>
        </w:rPr>
        <w:t>crescimento</w:t>
      </w:r>
      <w:r>
        <w:rPr>
          <w:rFonts w:cs="Times New Roman" w:ascii="Times New Roman" w:hAnsi="Times New Roman"/>
          <w:spacing w:val="40"/>
          <w:sz w:val="24"/>
          <w:szCs w:val="24"/>
        </w:rPr>
        <w:t xml:space="preserve"> </w:t>
      </w:r>
      <w:r>
        <w:rPr>
          <w:rFonts w:cs="Times New Roman" w:ascii="Times New Roman" w:hAnsi="Times New Roman"/>
          <w:sz w:val="24"/>
          <w:szCs w:val="24"/>
        </w:rPr>
        <w:t>similar</w:t>
      </w:r>
      <w:r>
        <w:rPr>
          <w:rFonts w:cs="Times New Roman" w:ascii="Times New Roman" w:hAnsi="Times New Roman"/>
          <w:spacing w:val="40"/>
          <w:sz w:val="24"/>
          <w:szCs w:val="24"/>
        </w:rPr>
        <w:t xml:space="preserve"> </w:t>
      </w:r>
      <w:r>
        <w:rPr>
          <w:rFonts w:cs="Times New Roman" w:ascii="Times New Roman" w:hAnsi="Times New Roman"/>
          <w:sz w:val="24"/>
          <w:szCs w:val="24"/>
        </w:rPr>
        <w:t>a</w:t>
      </w:r>
      <w:r>
        <w:rPr>
          <w:rFonts w:cs="Times New Roman" w:ascii="Times New Roman" w:hAnsi="Times New Roman"/>
          <w:spacing w:val="40"/>
          <w:sz w:val="24"/>
          <w:szCs w:val="24"/>
        </w:rPr>
        <w:t xml:space="preserve"> </w:t>
      </w:r>
      <w:r>
        <w:rPr>
          <w:rFonts w:cs="Times New Roman" w:ascii="Times New Roman" w:hAnsi="Times New Roman"/>
          <w:sz w:val="24"/>
          <w:szCs w:val="24"/>
        </w:rPr>
        <w:t>partir</w:t>
      </w:r>
      <w:r>
        <w:rPr>
          <w:rFonts w:cs="Times New Roman" w:ascii="Times New Roman" w:hAnsi="Times New Roman"/>
          <w:spacing w:val="40"/>
          <w:sz w:val="24"/>
          <w:szCs w:val="24"/>
        </w:rPr>
        <w:t xml:space="preserve"> </w:t>
      </w:r>
      <w:r>
        <w:rPr>
          <w:rFonts w:cs="Times New Roman" w:ascii="Times New Roman" w:hAnsi="Times New Roman"/>
          <w:sz w:val="24"/>
          <w:szCs w:val="24"/>
        </w:rPr>
        <w:t>de núcleos homogêneos ou heterogêneos;</w:t>
      </w:r>
    </w:p>
    <w:p>
      <w:pPr>
        <w:pStyle w:val="Corpodetexto"/>
        <w:numPr>
          <w:ilvl w:val="0"/>
          <w:numId w:val="4"/>
        </w:numPr>
        <w:tabs>
          <w:tab w:val="left" w:pos="1418" w:leader="none"/>
        </w:tabs>
        <w:spacing w:lineRule="auto" w:line="360" w:before="14" w:after="140"/>
        <w:ind w:left="1134" w:right="914" w:hanging="11"/>
        <w:jc w:val="both"/>
        <w:rPr>
          <w:rFonts w:ascii="Times New Roman" w:hAnsi="Times New Roman" w:cs="Times New Roman"/>
          <w:sz w:val="24"/>
          <w:szCs w:val="24"/>
        </w:rPr>
      </w:pPr>
      <w:r>
        <w:rPr>
          <w:rFonts w:cs="Times New Roman" w:ascii="Times New Roman" w:hAnsi="Times New Roman"/>
          <w:sz w:val="24"/>
          <w:szCs w:val="24"/>
        </w:rPr>
        <w:t>Sobreposição dos efeitos de cristalização primária e secundária.</w:t>
      </w:r>
    </w:p>
    <w:p>
      <w:pPr>
        <w:pStyle w:val="Corpodetexto"/>
        <w:spacing w:lineRule="auto" w:line="360" w:before="2" w:after="0"/>
        <w:ind w:firstLine="1134"/>
        <w:jc w:val="both"/>
        <w:rPr>
          <w:rFonts w:ascii="Times New Roman" w:hAnsi="Times New Roman" w:cs="Times New Roman"/>
          <w:sz w:val="24"/>
          <w:szCs w:val="24"/>
        </w:rPr>
      </w:pPr>
      <w:r>
        <w:rPr>
          <w:rFonts w:cs="Times New Roman" w:ascii="Times New Roman" w:hAnsi="Times New Roman"/>
          <w:sz w:val="24"/>
          <w:szCs w:val="24"/>
        </w:rPr>
        <w:t>Na cristalização primária, pressupõe-se que não há contato entre os núcleos em crescimento, pois o crescimento cristalino é retardo à medida que os núcleos encontram regiões já cristalizadas (</w:t>
      </w:r>
      <w:bookmarkStart w:id="140" w:name="_Hlk156988969"/>
      <w:r>
        <w:rPr>
          <w:rFonts w:cs="Times New Roman" w:ascii="Times New Roman" w:hAnsi="Times New Roman"/>
          <w:sz w:val="24"/>
          <w:szCs w:val="24"/>
        </w:rPr>
        <w:t>Schultz, 1974</w:t>
      </w:r>
      <w:bookmarkEnd w:id="140"/>
      <w:r>
        <w:rPr>
          <w:rFonts w:cs="Times New Roman" w:ascii="Times New Roman" w:hAnsi="Times New Roman"/>
          <w:sz w:val="24"/>
          <w:szCs w:val="24"/>
        </w:rPr>
        <w:t>).</w:t>
      </w:r>
    </w:p>
    <w:p>
      <w:pPr>
        <w:pStyle w:val="Corpodetexto"/>
        <w:tabs>
          <w:tab w:val="left" w:pos="7513" w:leader="none"/>
        </w:tabs>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Na cristalização secundária, com a evolução do processo da cristalização, os cristalitos vizinhos começam</w:t>
      </w:r>
      <w:r>
        <w:rPr>
          <w:rFonts w:cs="Times New Roman" w:ascii="Times New Roman" w:hAnsi="Times New Roman"/>
          <w:spacing w:val="-1"/>
          <w:sz w:val="24"/>
          <w:szCs w:val="24"/>
        </w:rPr>
        <w:t xml:space="preserve"> </w:t>
      </w:r>
      <w:r>
        <w:rPr>
          <w:rFonts w:cs="Times New Roman" w:ascii="Times New Roman" w:hAnsi="Times New Roman"/>
          <w:sz w:val="24"/>
          <w:szCs w:val="24"/>
        </w:rPr>
        <w:t>a colidir. A cristalização se desvia da equação de Avrami e ocorre uma diminuição na taxa de crescimento. Para cristalização abaixo desse limite, dados experimentais mostram um comportamento linear de acordo com a equação da taxa de</w:t>
      </w:r>
      <w:r>
        <w:rPr>
          <w:rFonts w:cs="Times New Roman" w:ascii="Times New Roman" w:hAnsi="Times New Roman"/>
          <w:spacing w:val="40"/>
          <w:sz w:val="24"/>
          <w:szCs w:val="24"/>
        </w:rPr>
        <w:t xml:space="preserve"> </w:t>
      </w:r>
      <w:r>
        <w:rPr>
          <w:rFonts w:cs="Times New Roman" w:ascii="Times New Roman" w:hAnsi="Times New Roman"/>
          <w:spacing w:val="-2"/>
          <w:sz w:val="24"/>
          <w:szCs w:val="24"/>
        </w:rPr>
        <w:t xml:space="preserve">cristalização </w:t>
      </w:r>
      <w:r>
        <w:rPr>
          <w:rFonts w:cs="Times New Roman" w:ascii="Times New Roman" w:hAnsi="Times New Roman"/>
          <w:b/>
          <w:i/>
          <w:spacing w:val="-2"/>
          <w:sz w:val="24"/>
          <w:szCs w:val="24"/>
        </w:rPr>
        <w:t>k</w:t>
      </w:r>
      <w:r>
        <w:rPr>
          <w:rFonts w:cs="Times New Roman" w:ascii="Times New Roman" w:hAnsi="Times New Roman"/>
          <w:sz w:val="24"/>
          <w:szCs w:val="24"/>
        </w:rPr>
        <w:t xml:space="preserve"> (</w:t>
      </w:r>
      <w:bookmarkStart w:id="141" w:name="_Hlk156988976"/>
      <w:r>
        <w:rPr>
          <w:rFonts w:cs="Times New Roman" w:ascii="Times New Roman" w:hAnsi="Times New Roman"/>
          <w:sz w:val="24"/>
          <w:szCs w:val="24"/>
        </w:rPr>
        <w:t>Skoglund et al., 1996</w:t>
      </w:r>
      <w:bookmarkEnd w:id="141"/>
      <w:r>
        <w:rPr>
          <w:rFonts w:cs="Times New Roman" w:ascii="Times New Roman" w:hAnsi="Times New Roman"/>
          <w:sz w:val="24"/>
          <w:szCs w:val="24"/>
        </w:rPr>
        <w:t>).</w:t>
      </w:r>
    </w:p>
    <w:p>
      <w:pPr>
        <w:pStyle w:val="Corpodetexto"/>
        <w:tabs>
          <w:tab w:val="left" w:pos="7513" w:leader="none"/>
        </w:tabs>
        <w:spacing w:lineRule="auto" w:line="360" w:before="0" w:after="0"/>
        <w:ind w:firstLine="1134"/>
        <w:jc w:val="both"/>
        <w:rPr>
          <w:rFonts w:ascii="Times New Roman" w:hAnsi="Times New Roman" w:cs="Times New Roman"/>
          <w:spacing w:val="-2"/>
          <w:sz w:val="24"/>
          <w:szCs w:val="24"/>
        </w:rPr>
      </w:pPr>
      <w:r>
        <w:rPr>
          <w:rFonts w:cs="Times New Roman" w:ascii="Times New Roman" w:hAnsi="Times New Roman"/>
          <w:sz w:val="24"/>
          <w:szCs w:val="24"/>
        </w:rPr>
        <w:t>Skoglund et. al. (1996) calculou</w:t>
      </w:r>
      <w:r>
        <w:rPr>
          <w:rFonts w:cs="Times New Roman" w:ascii="Times New Roman" w:hAnsi="Times New Roman"/>
          <w:spacing w:val="-7"/>
          <w:sz w:val="24"/>
          <w:szCs w:val="24"/>
        </w:rPr>
        <w:t xml:space="preserve"> </w:t>
      </w:r>
      <w:r>
        <w:rPr>
          <w:rFonts w:cs="Times New Roman" w:ascii="Times New Roman" w:hAnsi="Times New Roman"/>
          <w:sz w:val="24"/>
          <w:szCs w:val="24"/>
        </w:rPr>
        <w:t xml:space="preserve">os efeitos de algumas dessas limitações para a equação de Avrami nos parâmetros de </w:t>
      </w:r>
      <w:r>
        <w:rPr>
          <w:rFonts w:cs="Times New Roman" w:ascii="Times New Roman" w:hAnsi="Times New Roman"/>
          <w:b/>
          <w:i/>
          <w:sz w:val="24"/>
          <w:szCs w:val="24"/>
        </w:rPr>
        <w:t>n</w:t>
      </w:r>
      <w:r>
        <w:rPr>
          <w:rFonts w:cs="Times New Roman" w:ascii="Times New Roman" w:hAnsi="Times New Roman"/>
          <w:b/>
          <w:sz w:val="24"/>
          <w:szCs w:val="24"/>
        </w:rPr>
        <w:t xml:space="preserve"> </w:t>
      </w:r>
      <w:r>
        <w:rPr>
          <w:rFonts w:cs="Times New Roman" w:ascii="Times New Roman" w:hAnsi="Times New Roman"/>
          <w:sz w:val="24"/>
          <w:szCs w:val="24"/>
        </w:rPr>
        <w:t>e</w:t>
      </w:r>
      <w:r>
        <w:rPr>
          <w:rFonts w:cs="Times New Roman" w:ascii="Times New Roman" w:hAnsi="Times New Roman"/>
          <w:spacing w:val="-2"/>
          <w:sz w:val="24"/>
          <w:szCs w:val="24"/>
        </w:rPr>
        <w:t xml:space="preserve"> </w:t>
      </w:r>
      <w:r>
        <w:rPr>
          <w:rFonts w:cs="Times New Roman" w:ascii="Times New Roman" w:hAnsi="Times New Roman"/>
          <w:b/>
          <w:i/>
          <w:spacing w:val="-2"/>
          <w:sz w:val="24"/>
          <w:szCs w:val="24"/>
        </w:rPr>
        <w:t>k</w:t>
      </w:r>
      <w:r>
        <w:rPr>
          <w:rFonts w:cs="Times New Roman" w:ascii="Times New Roman" w:hAnsi="Times New Roman"/>
          <w:sz w:val="24"/>
          <w:szCs w:val="24"/>
        </w:rPr>
        <w:t xml:space="preserve">, concluindo que se trata de uma aproximação bem razoável para a maioria dos sistemas, exceto quando há mudança na densidade </w:t>
      </w:r>
      <w:r>
        <w:rPr>
          <w:rFonts w:cs="Times New Roman" w:ascii="Times New Roman" w:hAnsi="Times New Roman"/>
          <w:spacing w:val="-2"/>
          <w:sz w:val="24"/>
          <w:szCs w:val="24"/>
        </w:rPr>
        <w:t>radial.</w:t>
      </w:r>
    </w:p>
    <w:p>
      <w:pPr>
        <w:pStyle w:val="Corpodetexto"/>
        <w:tabs>
          <w:tab w:val="left" w:pos="7513" w:leader="none"/>
        </w:tabs>
        <w:spacing w:lineRule="auto" w:line="360" w:before="0" w:after="0"/>
        <w:ind w:firstLine="1134"/>
        <w:jc w:val="both"/>
        <w:rPr>
          <w:rFonts w:ascii="Times New Roman" w:hAnsi="Times New Roman" w:cs="Times New Roman"/>
          <w:spacing w:val="-2"/>
          <w:sz w:val="24"/>
          <w:szCs w:val="24"/>
        </w:rPr>
      </w:pPr>
      <w:r>
        <w:rPr>
          <w:rFonts w:cs="Times New Roman" w:ascii="Times New Roman" w:hAnsi="Times New Roman"/>
          <w:spacing w:val="-2"/>
          <w:sz w:val="24"/>
          <w:szCs w:val="24"/>
        </w:rPr>
      </w:r>
    </w:p>
    <w:p>
      <w:pPr>
        <w:pStyle w:val="Corpodetexto"/>
        <w:tabs>
          <w:tab w:val="left" w:pos="7513" w:leader="none"/>
        </w:tabs>
        <w:spacing w:lineRule="auto" w:line="360" w:before="0" w:after="0"/>
        <w:jc w:val="both"/>
        <w:rPr>
          <w:rFonts w:ascii="Times New Roman" w:hAnsi="Times New Roman" w:cs="Times New Roman"/>
          <w:i/>
          <w:i/>
          <w:sz w:val="24"/>
          <w:szCs w:val="24"/>
        </w:rPr>
      </w:pPr>
      <w:r>
        <w:rPr>
          <w:rFonts w:cs="Times New Roman" w:ascii="Times New Roman" w:hAnsi="Times New Roman"/>
          <w:i/>
          <w:sz w:val="24"/>
          <w:szCs w:val="24"/>
        </w:rPr>
        <w:t>3.5.4.1 Energia de ativação</w:t>
      </w:r>
      <w:bookmarkStart w:id="142" w:name="_Hlk156919035"/>
      <w:bookmarkEnd w:id="142"/>
    </w:p>
    <w:p>
      <w:pPr>
        <w:pStyle w:val="NormalWeb"/>
        <w:shd w:val="clear" w:color="auto" w:fill="FFFFFF"/>
        <w:spacing w:lineRule="auto" w:line="360" w:before="0" w:after="0"/>
        <w:ind w:firstLine="1134"/>
        <w:jc w:val="both"/>
        <w:rPr>
          <w:sz w:val="24"/>
          <w:szCs w:val="24"/>
        </w:rPr>
      </w:pPr>
      <w:r>
        <w:rPr>
          <w:sz w:val="24"/>
          <w:szCs w:val="24"/>
        </w:rPr>
      </w:r>
    </w:p>
    <w:p>
      <w:pPr>
        <w:pStyle w:val="NormalWeb"/>
        <w:shd w:val="clear" w:color="auto" w:fill="FFFFFF"/>
        <w:spacing w:lineRule="auto" w:line="360" w:before="0" w:after="0"/>
        <w:ind w:firstLine="1134"/>
        <w:jc w:val="both"/>
        <w:rPr>
          <w:sz w:val="24"/>
          <w:szCs w:val="24"/>
        </w:rPr>
      </w:pPr>
      <w:r>
        <w:rPr>
          <w:sz w:val="24"/>
          <w:szCs w:val="24"/>
        </w:rPr>
        <w:t xml:space="preserve">A energia de ativação efetiva para o crescimento do cristal </w:t>
      </w:r>
      <w:r>
        <w:rPr>
          <w:b/>
          <w:i/>
          <w:sz w:val="24"/>
          <w:szCs w:val="24"/>
        </w:rPr>
        <w:t>Ea</w:t>
      </w:r>
      <w:r>
        <w:rPr>
          <w:sz w:val="24"/>
          <w:szCs w:val="24"/>
        </w:rPr>
        <w:t>, pode ser calculada através equação de Arrhenuis (equação 14).</w:t>
      </w:r>
    </w:p>
    <w:p>
      <w:pPr>
        <w:pStyle w:val="NormalWeb"/>
        <w:shd w:val="clear" w:color="auto" w:fill="FFFFFF"/>
        <w:spacing w:lineRule="auto" w:line="360"/>
        <w:ind w:firstLine="1134"/>
        <w:jc w:val="both"/>
        <w:rPr>
          <w:b/>
          <w:b/>
          <w:sz w:val="24"/>
          <w:szCs w:val="24"/>
        </w:rPr>
      </w:pPr>
      <w:r>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A</m:t>
        </m:r>
        <m:sSup>
          <m:e>
            <m:r>
              <w:rPr>
                <w:rFonts w:ascii="Cambria Math" w:hAnsi="Cambria Math"/>
              </w:rPr>
              <m:t xml:space="preserve">exp</m:t>
            </m:r>
          </m:e>
          <m:sup>
            <m:f>
              <m:num>
                <m:r>
                  <w:rPr>
                    <w:rFonts w:ascii="Cambria Math" w:hAnsi="Cambria Math"/>
                  </w:rPr>
                  <m:t xml:space="preserve">−</m:t>
                </m:r>
                <m:sSub>
                  <m:e>
                    <m:r>
                      <w:rPr>
                        <w:rFonts w:ascii="Cambria Math" w:hAnsi="Cambria Math"/>
                      </w:rPr>
                      <m:t xml:space="preserve">E</m:t>
                    </m:r>
                  </m:e>
                  <m:sub>
                    <m:r>
                      <w:rPr>
                        <w:rFonts w:ascii="Cambria Math" w:hAnsi="Cambria Math"/>
                      </w:rPr>
                      <m:t xml:space="preserve">a</m:t>
                    </m:r>
                  </m:sub>
                </m:sSub>
              </m:num>
              <m:den>
                <m:r>
                  <w:rPr>
                    <w:rFonts w:ascii="Cambria Math" w:hAnsi="Cambria Math"/>
                  </w:rPr>
                  <m:t xml:space="preserve">RT</m:t>
                </m:r>
              </m:den>
            </m:f>
          </m:sup>
        </m:sSup>
      </m:oMath>
      <w:r>
        <w:rPr>
          <w:b/>
          <w:sz w:val="24"/>
          <w:szCs w:val="24"/>
        </w:rPr>
        <w:t xml:space="preserve">                                                                                              </w:t>
      </w:r>
    </w:p>
    <w:p>
      <w:pPr>
        <w:pStyle w:val="NormalWeb"/>
        <w:shd w:val="clear" w:color="auto" w:fill="FFFFFF"/>
        <w:spacing w:lineRule="auto" w:line="360" w:before="0" w:after="0"/>
        <w:ind w:firstLine="1134"/>
        <w:jc w:val="both"/>
        <w:rPr>
          <w:sz w:val="24"/>
          <w:szCs w:val="24"/>
        </w:rPr>
      </w:pPr>
      <w:r>
        <w:rPr>
          <w:sz w:val="24"/>
          <w:szCs w:val="24"/>
        </w:rPr>
        <w:t xml:space="preserve">Para realizarmos estes cálculos, podemos extrair dados do gráfico que correlaciona os valores da taxa de cristalização </w:t>
      </w:r>
      <w:r>
        <w:rPr>
          <w:b/>
          <w:i/>
          <w:sz w:val="24"/>
          <w:szCs w:val="24"/>
        </w:rPr>
        <w:t>k</w:t>
      </w:r>
      <w:r>
        <w:rPr>
          <w:sz w:val="24"/>
          <w:szCs w:val="24"/>
        </w:rPr>
        <w:t xml:space="preserve"> vs temperatura </w:t>
      </w:r>
      <w:r>
        <w:rPr>
          <w:b/>
          <w:i/>
          <w:sz w:val="24"/>
          <w:szCs w:val="24"/>
        </w:rPr>
        <w:t>T</w:t>
      </w:r>
      <w:r>
        <w:rPr>
          <w:sz w:val="24"/>
          <w:szCs w:val="24"/>
        </w:rPr>
        <w:t>, como mostra a figura 32.</w:t>
      </w:r>
    </w:p>
    <w:p>
      <w:pPr>
        <w:pStyle w:val="NormalWeb"/>
        <w:shd w:val="clear" w:color="auto" w:fill="FFFFFF"/>
        <w:spacing w:lineRule="auto" w:line="360" w:before="0" w:after="0"/>
        <w:ind w:left="1134" w:right="2835" w:hanging="0"/>
        <w:jc w:val="both"/>
        <w:rPr>
          <w:sz w:val="24"/>
          <w:szCs w:val="24"/>
        </w:rPr>
      </w:pPr>
      <w:r>
        <w:rPr>
          <w:sz w:val="24"/>
          <w:szCs w:val="24"/>
        </w:rPr>
      </w:r>
    </w:p>
    <w:p>
      <w:pPr>
        <w:pStyle w:val="NormalWeb"/>
        <w:shd w:val="clear" w:color="auto" w:fill="FFFFFF"/>
        <w:spacing w:lineRule="auto" w:line="360" w:before="0" w:after="0"/>
        <w:ind w:left="1134" w:right="2835" w:hanging="0"/>
        <w:jc w:val="both"/>
        <w:rPr/>
      </w:pPr>
      <w:r>
        <w:rPr/>
      </w:r>
      <w:bookmarkStart w:id="143" w:name="_Hlk151553858"/>
      <w:bookmarkStart w:id="144" w:name="_Hlk151553858"/>
      <w:bookmarkEnd w:id="144"/>
    </w:p>
    <w:p>
      <w:pPr>
        <w:pStyle w:val="Normal"/>
        <w:shd w:val="clear" w:color="auto" w:fill="FFFFFF"/>
        <w:spacing w:lineRule="auto" w:line="360" w:before="0" w:after="0"/>
        <w:ind w:left="2127" w:right="2126" w:hanging="0"/>
        <w:jc w:val="both"/>
        <w:rPr>
          <w:b/>
          <w:b/>
          <w:i/>
          <w:i/>
          <w:sz w:val="24"/>
          <w:szCs w:val="24"/>
        </w:rPr>
      </w:pPr>
      <w:r>
        <w:rPr>
          <w:rFonts w:cs="Times New Roman" w:ascii="Times New Roman" w:hAnsi="Times New Roman"/>
          <w:sz w:val="24"/>
          <w:szCs w:val="24"/>
        </w:rPr>
        <w:t xml:space="preserve">Figura 32 - Diagrama da taxa de cristalização </w:t>
      </w:r>
      <w:r>
        <w:rPr>
          <w:rFonts w:cs="Times New Roman" w:ascii="Times New Roman" w:hAnsi="Times New Roman"/>
          <w:b/>
          <w:i/>
          <w:sz w:val="24"/>
          <w:szCs w:val="24"/>
        </w:rPr>
        <w:t>k</w:t>
      </w:r>
      <w:r>
        <w:rPr>
          <w:rFonts w:cs="Times New Roman" w:ascii="Times New Roman" w:hAnsi="Times New Roman"/>
          <w:sz w:val="24"/>
          <w:szCs w:val="24"/>
        </w:rPr>
        <w:t xml:space="preserve"> em função da temperatura </w:t>
      </w:r>
      <w:r>
        <w:rPr>
          <w:rFonts w:cs="Times New Roman" w:ascii="Times New Roman" w:hAnsi="Times New Roman"/>
          <w:b/>
          <w:i/>
          <w:sz w:val="24"/>
          <w:szCs w:val="24"/>
        </w:rPr>
        <w:t>T</w:t>
      </w:r>
    </w:p>
    <w:p>
      <w:pPr>
        <w:pStyle w:val="Normal"/>
        <w:shd w:val="clear" w:color="auto" w:fill="FFFFFF"/>
        <w:spacing w:lineRule="auto" w:line="360" w:before="0" w:after="0"/>
        <w:jc w:val="center"/>
        <w:rPr>
          <w:rFonts w:ascii="Times New Roman" w:hAnsi="Times New Roman" w:cs="Times New Roman"/>
          <w:sz w:val="24"/>
          <w:szCs w:val="24"/>
        </w:rPr>
      </w:pPr>
      <w:r>
        <w:rPr/>
        <w:drawing>
          <wp:inline distT="0" distB="0" distL="0" distR="0">
            <wp:extent cx="2973705" cy="2647950"/>
            <wp:effectExtent l="0" t="0" r="0" b="0"/>
            <wp:docPr id="40"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14" descr=""/>
                    <pic:cNvPicPr>
                      <a:picLocks noChangeAspect="1" noChangeArrowheads="1"/>
                    </pic:cNvPicPr>
                  </pic:nvPicPr>
                  <pic:blipFill>
                    <a:blip r:embed="rId37"/>
                    <a:srcRect l="28800" t="25501" r="33971" b="18144"/>
                    <a:stretch>
                      <a:fillRect/>
                    </a:stretch>
                  </pic:blipFill>
                  <pic:spPr bwMode="auto">
                    <a:xfrm>
                      <a:off x="0" y="0"/>
                      <a:ext cx="2973705" cy="2647950"/>
                    </a:xfrm>
                    <a:prstGeom prst="rect">
                      <a:avLst/>
                    </a:prstGeom>
                  </pic:spPr>
                </pic:pic>
              </a:graphicData>
            </a:graphic>
          </wp:inline>
        </w:drawing>
      </w:r>
    </w:p>
    <w:p>
      <w:pPr>
        <w:pStyle w:val="Normal"/>
        <w:shd w:val="clear" w:color="auto" w:fill="FFFFFF"/>
        <w:spacing w:lineRule="auto" w:line="360" w:before="0" w:after="0"/>
        <w:ind w:left="2127" w:hanging="0"/>
        <w:jc w:val="both"/>
        <w:rPr>
          <w:rFonts w:ascii="Times New Roman" w:hAnsi="Times New Roman" w:cs="Times New Roman"/>
          <w:sz w:val="20"/>
          <w:szCs w:val="20"/>
        </w:rPr>
      </w:pPr>
      <w:r>
        <w:rPr>
          <w:rFonts w:cs="Times New Roman" w:ascii="Times New Roman" w:hAnsi="Times New Roman"/>
          <w:sz w:val="20"/>
          <w:szCs w:val="20"/>
        </w:rPr>
        <w:t>Fonte: elaborado pelo autor.</w:t>
      </w:r>
    </w:p>
    <w:p>
      <w:pPr>
        <w:pStyle w:val="Normal"/>
        <w:shd w:val="clear" w:color="auto" w:fill="FFFFFF"/>
        <w:spacing w:lineRule="auto" w:line="360" w:before="0" w:after="0"/>
        <w:ind w:left="2127" w:hanging="0"/>
        <w:rPr>
          <w:rFonts w:ascii="Times New Roman" w:hAnsi="Times New Roman" w:cs="Times New Roman"/>
          <w:sz w:val="24"/>
          <w:szCs w:val="24"/>
        </w:rPr>
      </w:pPr>
      <w:r>
        <w:rPr>
          <w:rFonts w:cs="Times New Roman" w:ascii="Times New Roman" w:hAnsi="Times New Roman"/>
          <w:sz w:val="24"/>
          <w:szCs w:val="24"/>
        </w:rPr>
      </w:r>
    </w:p>
    <w:p>
      <w:pPr>
        <w:pStyle w:val="NormalWeb"/>
        <w:shd w:val="clear" w:color="auto" w:fill="FFFFFF"/>
        <w:spacing w:lineRule="auto" w:line="360" w:before="0" w:after="0"/>
        <w:ind w:firstLine="1134"/>
        <w:jc w:val="both"/>
        <w:rPr>
          <w:sz w:val="24"/>
          <w:szCs w:val="24"/>
        </w:rPr>
      </w:pPr>
      <w:r>
        <w:rPr>
          <w:sz w:val="24"/>
          <w:szCs w:val="24"/>
        </w:rPr>
        <w:t xml:space="preserve">Para linearizar este gráfico, aplicamos o logaritmo natural </w:t>
      </w:r>
      <w:r>
        <w:rPr>
          <w:b/>
          <w:i/>
          <w:sz w:val="24"/>
          <w:szCs w:val="24"/>
        </w:rPr>
        <w:t>ln</w:t>
      </w:r>
      <w:r>
        <w:rPr>
          <w:sz w:val="24"/>
          <w:szCs w:val="24"/>
        </w:rPr>
        <w:t>, em ambos os lados da equação de Arrhenius, obtendo a seguinte equação:</w:t>
      </w:r>
    </w:p>
    <w:p>
      <w:pPr>
        <w:pStyle w:val="NormalWeb"/>
        <w:shd w:val="clear" w:color="auto" w:fill="FFFFFF"/>
        <w:spacing w:lineRule="auto" w:line="360" w:before="0" w:after="0"/>
        <w:ind w:firstLine="1134"/>
        <w:jc w:val="both"/>
        <w:rPr>
          <w:sz w:val="24"/>
          <w:szCs w:val="24"/>
        </w:rPr>
      </w:pPr>
      <w:r>
        <w:rPr/>
      </w:r>
      <m:oMath xmlns:m="http://schemas.openxmlformats.org/officeDocument/2006/math">
        <m:r>
          <w:rPr>
            <w:rFonts w:ascii="Cambria Math" w:hAnsi="Cambria Math"/>
          </w:rPr>
          <m:t xml:space="preserve">ln</m:t>
        </m:r>
        <m:r>
          <w:rPr>
            <w:rFonts w:ascii="Cambria Math" w:hAnsi="Cambria Math"/>
          </w:rPr>
          <m:t xml:space="preserve">k</m:t>
        </m:r>
        <m:r>
          <w:rPr>
            <w:rFonts w:ascii="Cambria Math" w:hAnsi="Cambria Math"/>
          </w:rPr>
          <m:t xml:space="preserve">=</m:t>
        </m:r>
        <m:r>
          <w:rPr>
            <w:rFonts w:ascii="Cambria Math" w:hAnsi="Cambria Math"/>
          </w:rPr>
          <m:t xml:space="preserve">ln</m:t>
        </m:r>
        <m:r>
          <w:rPr>
            <w:rFonts w:ascii="Cambria Math" w:hAnsi="Cambria Math"/>
          </w:rPr>
          <m:t xml:space="preserve">A</m:t>
        </m:r>
        <m:r>
          <w:rPr>
            <w:rFonts w:ascii="Cambria Math" w:hAnsi="Cambria Math"/>
          </w:rPr>
          <m:t xml:space="preserve">−</m:t>
        </m:r>
        <m:d>
          <m:dPr>
            <m:begChr m:val="("/>
            <m:endChr m:val=")"/>
          </m:dPr>
          <m:e>
            <m:f>
              <m:num>
                <m:sSub>
                  <m:e>
                    <m:r>
                      <w:rPr>
                        <w:rFonts w:ascii="Cambria Math" w:hAnsi="Cambria Math"/>
                      </w:rPr>
                      <m:t xml:space="preserve">E</m:t>
                    </m:r>
                  </m:e>
                  <m:sub>
                    <m:r>
                      <w:rPr>
                        <w:rFonts w:ascii="Cambria Math" w:hAnsi="Cambria Math"/>
                      </w:rPr>
                      <m:t xml:space="preserve">a</m:t>
                    </m:r>
                  </m:sub>
                </m:sSub>
              </m:num>
              <m:den>
                <m:r>
                  <w:rPr>
                    <w:rFonts w:ascii="Cambria Math" w:hAnsi="Cambria Math"/>
                  </w:rPr>
                  <m:t xml:space="preserve">RT</m:t>
                </m:r>
              </m:den>
            </m:f>
          </m:e>
        </m:d>
      </m:oMath>
      <w:r>
        <w:rPr>
          <w:sz w:val="24"/>
          <w:szCs w:val="24"/>
        </w:rPr>
        <w:t xml:space="preserve">                                                                                                           </w:t>
      </w:r>
      <w:r>
        <w:rPr>
          <w:sz w:val="24"/>
          <w:szCs w:val="24"/>
        </w:rPr>
        <w:t>(24)</w:t>
      </w:r>
    </w:p>
    <w:p>
      <w:pPr>
        <w:pStyle w:val="NormalWeb"/>
        <w:shd w:val="clear" w:color="auto" w:fill="FFFFFF"/>
        <w:spacing w:lineRule="auto" w:line="360" w:before="0" w:after="0"/>
        <w:ind w:firstLine="1134"/>
        <w:jc w:val="both"/>
        <w:rPr>
          <w:sz w:val="24"/>
          <w:szCs w:val="24"/>
        </w:rPr>
      </w:pPr>
      <w:r>
        <w:rPr>
          <w:sz w:val="24"/>
          <w:szCs w:val="24"/>
        </w:rPr>
        <w:t xml:space="preserve">Rearranjando a equação acima, ela torna-se a equação de uma reta que relaciona </w:t>
      </w:r>
      <w:r>
        <w:rPr>
          <w:b/>
          <w:i/>
          <w:sz w:val="24"/>
          <w:szCs w:val="24"/>
        </w:rPr>
        <w:t>k</w:t>
      </w:r>
      <w:r>
        <w:rPr>
          <w:sz w:val="24"/>
          <w:szCs w:val="24"/>
        </w:rPr>
        <w:t xml:space="preserve"> a (</w:t>
      </w:r>
      <w:r>
        <w:rPr>
          <w:b/>
          <w:i/>
          <w:sz w:val="24"/>
          <w:szCs w:val="24"/>
        </w:rPr>
        <w:t>1/T</w:t>
      </w:r>
      <w:r>
        <w:rPr>
          <w:sz w:val="24"/>
          <w:szCs w:val="24"/>
        </w:rPr>
        <w:t>), da seguinte forma:</w:t>
      </w:r>
    </w:p>
    <w:p>
      <w:pPr>
        <w:pStyle w:val="NormalWeb"/>
        <w:shd w:val="clear" w:color="auto" w:fill="FFFFFF"/>
        <w:spacing w:lineRule="auto" w:line="360"/>
        <w:ind w:firstLine="1134"/>
        <w:jc w:val="both"/>
        <w:rPr>
          <w:sz w:val="24"/>
          <w:szCs w:val="24"/>
        </w:rPr>
      </w:pPr>
      <w:r>
        <w:rPr/>
      </w:r>
      <m:oMath xmlns:m="http://schemas.openxmlformats.org/officeDocument/2006/math">
        <m:r>
          <w:rPr>
            <w:rFonts w:ascii="Cambria Math" w:hAnsi="Cambria Math"/>
          </w:rPr>
          <m:t xml:space="preserve">ln</m:t>
        </m:r>
        <m:r>
          <w:rPr>
            <w:rFonts w:ascii="Cambria Math" w:hAnsi="Cambria Math"/>
          </w:rPr>
          <m:t xml:space="preserve">k</m:t>
        </m:r>
        <m:r>
          <w:rPr>
            <w:rFonts w:ascii="Cambria Math" w:hAnsi="Cambria Math"/>
          </w:rPr>
          <m:t xml:space="preserve">=</m:t>
        </m:r>
        <m:r>
          <w:rPr>
            <w:rFonts w:ascii="Cambria Math" w:hAnsi="Cambria Math"/>
          </w:rPr>
          <m:t xml:space="preserve">ln</m:t>
        </m:r>
        <m:r>
          <w:rPr>
            <w:rFonts w:ascii="Cambria Math" w:hAnsi="Cambria Math"/>
          </w:rPr>
          <m:t xml:space="preserve">A</m:t>
        </m:r>
        <m:r>
          <w:rPr>
            <w:rFonts w:ascii="Cambria Math" w:hAnsi="Cambria Math"/>
          </w:rPr>
          <m:t xml:space="preserve">−</m:t>
        </m:r>
        <m:f>
          <m:num>
            <m:sSub>
              <m:e>
                <m:r>
                  <w:rPr>
                    <w:rFonts w:ascii="Cambria Math" w:hAnsi="Cambria Math"/>
                  </w:rPr>
                  <m:t xml:space="preserve">E</m:t>
                </m:r>
              </m:e>
              <m:sub>
                <m:r>
                  <w:rPr>
                    <w:rFonts w:ascii="Cambria Math" w:hAnsi="Cambria Math"/>
                  </w:rPr>
                  <m:t xml:space="preserve">a</m:t>
                </m:r>
              </m:sub>
            </m:sSub>
          </m:num>
          <m:den>
            <m:r>
              <w:rPr>
                <w:rFonts w:ascii="Cambria Math" w:hAnsi="Cambria Math"/>
              </w:rPr>
              <m:t xml:space="preserve">R</m:t>
            </m:r>
          </m:den>
        </m:f>
        <m:d>
          <m:dPr>
            <m:begChr m:val="("/>
            <m:endChr m:val=")"/>
          </m:dPr>
          <m:e>
            <m:f>
              <m:num>
                <m:r>
                  <w:rPr>
                    <w:rFonts w:ascii="Cambria Math" w:hAnsi="Cambria Math"/>
                  </w:rPr>
                  <m:t xml:space="preserve">1</m:t>
                </m:r>
              </m:num>
              <m:den>
                <m:r>
                  <w:rPr>
                    <w:rFonts w:ascii="Cambria Math" w:hAnsi="Cambria Math"/>
                  </w:rPr>
                  <m:t xml:space="preserve">T</m:t>
                </m:r>
              </m:den>
            </m:f>
          </m:e>
        </m:d>
      </m:oMath>
      <w:r>
        <w:rPr>
          <w:sz w:val="24"/>
          <w:szCs w:val="24"/>
        </w:rPr>
        <w:t xml:space="preserve">    →     </w:t>
      </w:r>
      <w:r>
        <w:rPr>
          <w:sz w:val="24"/>
          <w:szCs w:val="24"/>
        </w:rPr>
        <w:t xml:space="preserve">y = a + b x </w:t>
      </w:r>
    </w:p>
    <w:p>
      <w:pPr>
        <w:pStyle w:val="NormalWeb"/>
        <w:shd w:val="clear" w:color="auto" w:fill="FFFFFF"/>
        <w:spacing w:lineRule="auto" w:line="360" w:before="0" w:after="0"/>
        <w:ind w:firstLine="1134"/>
        <w:jc w:val="both"/>
        <w:rPr>
          <w:sz w:val="24"/>
          <w:szCs w:val="24"/>
        </w:rPr>
      </w:pPr>
      <w:r>
        <w:rPr>
          <w:sz w:val="24"/>
          <w:szCs w:val="24"/>
        </w:rPr>
        <w:t>Desta forma, podemos calcular a energia de ativação (</w:t>
      </w:r>
      <w:r>
        <w:rPr>
          <w:b/>
          <w:i/>
          <w:sz w:val="24"/>
          <w:szCs w:val="24"/>
        </w:rPr>
        <w:t>Ea</w:t>
      </w:r>
      <w:r>
        <w:rPr>
          <w:sz w:val="24"/>
          <w:szCs w:val="24"/>
        </w:rPr>
        <w:t xml:space="preserve">) a partir dos valores experimentais de </w:t>
      </w:r>
      <w:r>
        <w:rPr>
          <w:b/>
          <w:i/>
          <w:sz w:val="24"/>
          <w:szCs w:val="24"/>
        </w:rPr>
        <w:t>k</w:t>
      </w:r>
      <w:r>
        <w:rPr>
          <w:sz w:val="24"/>
          <w:szCs w:val="24"/>
        </w:rPr>
        <w:t xml:space="preserve"> em diferentes isotermas. </w:t>
      </w:r>
    </w:p>
    <w:p>
      <w:pPr>
        <w:pStyle w:val="NormalWeb"/>
        <w:shd w:val="clear" w:color="auto" w:fill="FFFFFF"/>
        <w:spacing w:lineRule="auto" w:line="360" w:before="0" w:after="0"/>
        <w:ind w:firstLine="1134"/>
        <w:jc w:val="both"/>
        <w:rPr>
          <w:sz w:val="24"/>
          <w:szCs w:val="24"/>
        </w:rPr>
      </w:pPr>
      <w:r>
        <w:rPr>
          <w:sz w:val="24"/>
          <w:szCs w:val="24"/>
        </w:rPr>
        <w:t>Verifica-se, por meio da equação de Arrhenius:</w:t>
      </w:r>
    </w:p>
    <w:p>
      <w:pPr>
        <w:pStyle w:val="NormalWeb"/>
        <w:numPr>
          <w:ilvl w:val="0"/>
          <w:numId w:val="10"/>
        </w:numPr>
        <w:shd w:val="clear" w:color="auto" w:fill="FFFFFF"/>
        <w:spacing w:lineRule="auto" w:line="360" w:before="0" w:after="0"/>
        <w:ind w:left="1418" w:hanging="284"/>
        <w:jc w:val="both"/>
        <w:rPr>
          <w:sz w:val="24"/>
          <w:szCs w:val="24"/>
        </w:rPr>
      </w:pPr>
      <w:r>
        <w:rPr>
          <w:sz w:val="24"/>
          <w:szCs w:val="24"/>
        </w:rPr>
        <w:t xml:space="preserve">O fator </w:t>
      </w:r>
      <w:r>
        <w:rPr>
          <w:b/>
          <w:sz w:val="24"/>
          <w:szCs w:val="24"/>
        </w:rPr>
        <w:t>exp </w:t>
      </w:r>
      <w:r>
        <w:rPr>
          <w:b/>
          <w:sz w:val="24"/>
          <w:szCs w:val="24"/>
          <w:vertAlign w:val="superscript"/>
        </w:rPr>
        <w:t>-Ea/RT</w:t>
      </w:r>
      <w:r>
        <w:rPr>
          <w:sz w:val="24"/>
          <w:szCs w:val="24"/>
        </w:rPr>
        <w:t> </w:t>
      </w:r>
      <w:r>
        <w:rPr>
          <w:color w:val="202124"/>
          <w:sz w:val="24"/>
          <w:szCs w:val="24"/>
          <w:shd w:fill="FFFFFF" w:val="clear"/>
        </w:rPr>
        <w:t>representa a fração de colisões com energia suficiente para superar a barreira de ativação (ou seja, têm energia maior ou igual à energia de ativação Ea) à temperatura T.</w:t>
      </w:r>
    </w:p>
    <w:p>
      <w:pPr>
        <w:pStyle w:val="NormalWeb"/>
        <w:numPr>
          <w:ilvl w:val="0"/>
          <w:numId w:val="5"/>
        </w:numPr>
        <w:shd w:val="clear" w:color="auto" w:fill="FFFFFF"/>
        <w:spacing w:lineRule="auto" w:line="360" w:before="0" w:after="0"/>
        <w:ind w:left="1418" w:hanging="284"/>
        <w:jc w:val="both"/>
        <w:rPr>
          <w:sz w:val="24"/>
          <w:szCs w:val="24"/>
        </w:rPr>
      </w:pPr>
      <w:r>
        <w:rPr>
          <w:sz w:val="24"/>
          <w:szCs w:val="24"/>
        </w:rPr>
        <w:t xml:space="preserve">Quando a energia de ativação </w:t>
      </w:r>
      <w:r>
        <w:rPr>
          <w:b/>
          <w:i/>
          <w:sz w:val="24"/>
          <w:szCs w:val="24"/>
        </w:rPr>
        <w:t>Ea</w:t>
      </w:r>
      <w:r>
        <w:rPr>
          <w:sz w:val="24"/>
          <w:szCs w:val="24"/>
        </w:rPr>
        <w:t xml:space="preserve"> é elevada, a taxa de cristalização </w:t>
      </w:r>
      <w:r>
        <w:rPr>
          <w:b/>
          <w:i/>
          <w:sz w:val="24"/>
          <w:szCs w:val="24"/>
        </w:rPr>
        <w:t>k</w:t>
      </w:r>
      <w:r>
        <w:rPr>
          <w:sz w:val="24"/>
          <w:szCs w:val="24"/>
        </w:rPr>
        <w:t xml:space="preserve"> é pequena, isto é, aumenta a barreira cinética para crescimento cristalino tornando a transformação de fase lenta.</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ind w:right="61" w:hanging="0"/>
        <w:jc w:val="both"/>
        <w:rPr>
          <w:rFonts w:ascii="Times New Roman" w:hAnsi="Times New Roman" w:cs="Times New Roman"/>
          <w:b/>
          <w:b/>
          <w:sz w:val="24"/>
          <w:szCs w:val="24"/>
        </w:rPr>
      </w:pPr>
      <w:r>
        <w:rPr>
          <w:rFonts w:cs="Times New Roman" w:ascii="Times New Roman" w:hAnsi="Times New Roman"/>
          <w:b/>
          <w:sz w:val="24"/>
          <w:szCs w:val="24"/>
        </w:rPr>
        <w:t>3.6 C</w:t>
      </w:r>
      <w:r>
        <w:rPr>
          <w:rFonts w:cs="Times New Roman" w:ascii="Times New Roman" w:hAnsi="Times New Roman"/>
          <w:b/>
          <w:bCs/>
          <w:iCs/>
          <w:color w:val="000000"/>
          <w:sz w:val="24"/>
          <w:szCs w:val="24"/>
        </w:rPr>
        <w:t>alorimetria Exploratória Diferencial</w:t>
      </w:r>
      <w:r>
        <w:rPr>
          <w:rFonts w:cs="Times New Roman" w:ascii="Times New Roman" w:hAnsi="Times New Roman"/>
          <w:b/>
          <w:sz w:val="24"/>
          <w:szCs w:val="24"/>
        </w:rPr>
        <w:t xml:space="preserve"> - DSC</w:t>
      </w:r>
      <w:bookmarkStart w:id="145" w:name="_Hlk156919080"/>
      <w:bookmarkEnd w:id="145"/>
    </w:p>
    <w:p>
      <w:pPr>
        <w:pStyle w:val="Normal"/>
        <w:spacing w:lineRule="auto" w:line="360" w:before="0" w:after="0"/>
        <w:ind w:right="61"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 processo de aquecimento e resfriamento que um pó fluxante sofre durante o processo de lingotamento contínuo pode ser simulado utilizando técnicas de análises térmicas, que mostram eventos que ocorrem durante o aquecimento e resfriamento da escória sintética como por exemplo a cristalização e fusão. Com essa técnica pode-se observar a temperatura de transição vítrea, o momento exato em que as transformações de fases ocorrem, bem como a temperatura de cada uma.  (Medeiros, 2019). </w:t>
      </w:r>
    </w:p>
    <w:p>
      <w:pPr>
        <w:pStyle w:val="Normal"/>
        <w:spacing w:lineRule="auto" w:line="360" w:before="0" w:after="0"/>
        <w:ind w:firstLine="1134"/>
        <w:jc w:val="both"/>
        <w:rPr>
          <w:rFonts w:ascii="Times New Roman" w:hAnsi="Times New Roman" w:cs="Times New Roman"/>
          <w:b/>
          <w:b/>
          <w:bCs/>
          <w:iCs/>
          <w:color w:val="000000"/>
          <w:sz w:val="24"/>
          <w:szCs w:val="24"/>
        </w:rPr>
      </w:pPr>
      <w:r>
        <w:rPr>
          <w:rFonts w:cs="Times New Roman" w:ascii="Times New Roman" w:hAnsi="Times New Roman"/>
          <w:sz w:val="24"/>
          <w:szCs w:val="24"/>
        </w:rPr>
        <w:t>Devido à sua versatilidade e velocidade de operação a técnica de</w:t>
      </w:r>
      <w:r>
        <w:rPr>
          <w:rFonts w:cs="Times New Roman" w:ascii="Times New Roman" w:hAnsi="Times New Roman"/>
          <w:color w:val="000000"/>
          <w:sz w:val="24"/>
          <w:szCs w:val="24"/>
        </w:rPr>
        <w:t xml:space="preserve"> </w:t>
      </w:r>
      <w:bookmarkStart w:id="146" w:name="_Hlk156898571"/>
      <w:r>
        <w:rPr>
          <w:rFonts w:cs="Times New Roman" w:ascii="Times New Roman" w:hAnsi="Times New Roman"/>
          <w:color w:val="000000"/>
          <w:sz w:val="24"/>
          <w:szCs w:val="24"/>
        </w:rPr>
        <w:t>c</w:t>
      </w:r>
      <w:r>
        <w:rPr>
          <w:rFonts w:cs="Times New Roman" w:ascii="Times New Roman" w:hAnsi="Times New Roman"/>
          <w:bCs/>
          <w:iCs/>
          <w:color w:val="000000"/>
          <w:sz w:val="24"/>
          <w:szCs w:val="24"/>
        </w:rPr>
        <w:t>alorimetria exploratória diferencial (DSC</w:t>
      </w:r>
      <w:bookmarkEnd w:id="146"/>
      <w:r>
        <w:rPr>
          <w:rFonts w:cs="Times New Roman" w:ascii="Times New Roman" w:hAnsi="Times New Roman"/>
          <w:bCs/>
          <w:iCs/>
          <w:color w:val="000000"/>
          <w:sz w:val="24"/>
          <w:szCs w:val="24"/>
        </w:rPr>
        <w:t xml:space="preserve">), </w:t>
      </w:r>
      <w:r>
        <w:rPr>
          <w:rFonts w:cs="Times New Roman" w:ascii="Times New Roman" w:hAnsi="Times New Roman"/>
          <w:color w:val="000000"/>
          <w:sz w:val="24"/>
          <w:szCs w:val="24"/>
        </w:rPr>
        <w:t>é uma das técnicas térmicas disponíveis para os analistas mais utilizadas, pois fornece um método rápido e simples de usar para obter uma grande quantidade de informações sobre um material, independente de qual seja o uso final previsto. Pode ser observado o uso dessa ferramenta em diversas aplicações, incluindo polímeros e plásticos, alimentos e produtos farmacêuticos, vidros e cerâmicas, proteínas e praticamente qualquer outro tipo de material (</w:t>
      </w:r>
      <w:bookmarkStart w:id="147" w:name="_Hlk156988991"/>
      <w:r>
        <w:rPr>
          <w:rFonts w:cs="Times New Roman" w:ascii="Times New Roman" w:hAnsi="Times New Roman"/>
          <w:color w:val="000000"/>
          <w:sz w:val="24"/>
          <w:szCs w:val="24"/>
        </w:rPr>
        <w:t>Gabbott, 2008</w:t>
      </w:r>
      <w:bookmarkEnd w:id="147"/>
      <w:r>
        <w:rPr>
          <w:rFonts w:cs="Times New Roman" w:ascii="Times New Roman" w:hAnsi="Times New Roman"/>
          <w:color w:val="000000"/>
          <w:sz w:val="24"/>
          <w:szCs w:val="24"/>
        </w:rPr>
        <w:t>).</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A técnica de DSC mensura as mudanças de energia que ocorrem quando uma amostra é aquecida, resfriada ou mantida isotermicamente, juntamente com a temperatura na qual essas mudanças acontecem. Com essas mudanças de energia, torna-se possível encontrar e medir quantitativamente as transições que ocorrem na amostra, identificar a temperatura onde as mesmas ocorrem e, dessa forma, caracterizar o material por processos de fusão, medição da faixa de transições vítrea e uma gama variada de outras características mais complexas (Gabbott, 2008).</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t>Os dados cinéticos (α, t, dα / dt) em uma temperatura constante, são obtidos a partir de medidas termoanalíticas, como a calorimetria exploratória diferencial (DSC). Usando esses dados, valores de k</w:t>
      </w:r>
      <w:r>
        <w:rPr>
          <w:rFonts w:cs="Times New Roman" w:ascii="Times New Roman" w:hAnsi="Times New Roman"/>
          <w:color w:val="000000"/>
          <w:sz w:val="24"/>
          <w:szCs w:val="24"/>
          <w:vertAlign w:val="subscript"/>
        </w:rPr>
        <w:t>α</w:t>
      </w:r>
      <w:r>
        <w:rPr>
          <w:rFonts w:cs="Times New Roman" w:ascii="Times New Roman" w:hAnsi="Times New Roman"/>
          <w:color w:val="000000"/>
          <w:sz w:val="24"/>
          <w:szCs w:val="24"/>
        </w:rPr>
        <w:t xml:space="preserve"> estimados em diferentes temperaturas constantes, pode-se finalmente calcular as constantes cinéticas: Ea (energia de ativação) e A (fator pré-exponencial) (Medeiros, 2019).</w:t>
      </w:r>
    </w:p>
    <w:p>
      <w:pPr>
        <w:pStyle w:val="NormalWeb"/>
        <w:shd w:val="clear" w:color="auto" w:fill="FFFFFF"/>
        <w:spacing w:lineRule="auto" w:line="360" w:before="0" w:after="0"/>
        <w:ind w:firstLine="1134"/>
        <w:jc w:val="both"/>
        <w:rPr>
          <w:rFonts w:eastAsia="Calibri" w:eastAsiaTheme="minorHAnsi"/>
          <w:sz w:val="28"/>
          <w:szCs w:val="24"/>
          <w:lang w:eastAsia="en-US"/>
        </w:rPr>
      </w:pPr>
      <w:r>
        <w:rPr>
          <w:sz w:val="24"/>
          <w:szCs w:val="23"/>
        </w:rPr>
        <w:t xml:space="preserve">Os DSCs modernos são calibrados para gerar um sinal resultante que traça a diferença de energia que flui para o cadinho com a amostra, que é comparado ao de referência. O gráfico de DSC é plotado em função da temperatura ou do tempo. Este experimento mede o fluxo de energia diretamente em mW ou J/s </w:t>
      </w:r>
      <w:r>
        <w:rPr>
          <w:color w:val="000000"/>
          <w:sz w:val="24"/>
          <w:szCs w:val="24"/>
        </w:rPr>
        <w:t>(Medeiros, 2019).</w:t>
      </w:r>
    </w:p>
    <w:p>
      <w:pPr>
        <w:pStyle w:val="NormalWeb"/>
        <w:shd w:val="clear" w:color="auto" w:fill="FFFFFF"/>
        <w:spacing w:lineRule="auto" w:line="360" w:before="0" w:after="0"/>
        <w:ind w:firstLine="1134"/>
        <w:jc w:val="both"/>
        <w:rPr>
          <w:rFonts w:eastAsia="Calibri" w:eastAsiaTheme="minorHAnsi"/>
          <w:sz w:val="24"/>
          <w:szCs w:val="24"/>
          <w:lang w:eastAsia="en-US"/>
        </w:rPr>
      </w:pPr>
      <w:r>
        <w:rPr>
          <w:rFonts w:eastAsia="Calibri" w:eastAsiaTheme="minorHAnsi"/>
          <w:sz w:val="24"/>
          <w:szCs w:val="24"/>
          <w:lang w:eastAsia="en-US"/>
        </w:rPr>
        <w:t xml:space="preserve">A figura 33 ilustra uma curva típica de um experimento DSC para uma amostra genérica. </w:t>
      </w:r>
    </w:p>
    <w:p>
      <w:pPr>
        <w:pStyle w:val="NormalWeb"/>
        <w:shd w:val="clear" w:color="auto" w:fill="FFFFFF"/>
        <w:tabs>
          <w:tab w:val="left" w:pos="1843" w:leader="none"/>
        </w:tabs>
        <w:spacing w:lineRule="auto" w:line="360" w:before="0" w:after="0"/>
        <w:jc w:val="center"/>
        <w:rPr>
          <w:rFonts w:eastAsia="Calibri" w:eastAsiaTheme="minorHAnsi"/>
          <w:sz w:val="24"/>
          <w:szCs w:val="24"/>
          <w:lang w:eastAsia="en-US"/>
        </w:rPr>
      </w:pPr>
      <w:r>
        <w:rPr>
          <w:rFonts w:eastAsia="Calibri" w:eastAsiaTheme="minorHAnsi"/>
          <w:sz w:val="24"/>
          <w:szCs w:val="24"/>
          <w:lang w:eastAsia="en-US"/>
        </w:rPr>
      </w:r>
    </w:p>
    <w:p>
      <w:pPr>
        <w:pStyle w:val="NormalWeb"/>
        <w:shd w:val="clear" w:color="auto" w:fill="FFFFFF"/>
        <w:tabs>
          <w:tab w:val="left" w:pos="1843" w:leader="none"/>
        </w:tabs>
        <w:spacing w:lineRule="auto" w:line="360" w:before="0" w:after="0"/>
        <w:jc w:val="center"/>
        <w:rPr>
          <w:rFonts w:eastAsia="Calibri" w:eastAsiaTheme="minorHAnsi"/>
          <w:sz w:val="24"/>
          <w:szCs w:val="24"/>
          <w:lang w:eastAsia="en-US"/>
        </w:rPr>
      </w:pPr>
      <w:r>
        <w:rPr>
          <w:rFonts w:eastAsia="Calibri" w:eastAsiaTheme="minorHAnsi"/>
          <w:sz w:val="24"/>
          <w:szCs w:val="24"/>
          <w:lang w:eastAsia="en-US"/>
        </w:rPr>
      </w:r>
    </w:p>
    <w:p>
      <w:pPr>
        <w:pStyle w:val="NormalWeb"/>
        <w:shd w:val="clear" w:color="auto" w:fill="FFFFFF"/>
        <w:tabs>
          <w:tab w:val="left" w:pos="1843" w:leader="none"/>
        </w:tabs>
        <w:spacing w:lineRule="auto" w:line="360" w:before="0" w:after="0"/>
        <w:jc w:val="center"/>
        <w:rPr>
          <w:rFonts w:eastAsia="Calibri" w:eastAsiaTheme="minorHAnsi"/>
          <w:sz w:val="24"/>
          <w:szCs w:val="24"/>
          <w:lang w:eastAsia="en-US"/>
        </w:rPr>
      </w:pPr>
      <w:r>
        <w:rPr>
          <w:rFonts w:eastAsia="Calibri" w:eastAsiaTheme="minorHAnsi"/>
          <w:sz w:val="24"/>
          <w:szCs w:val="24"/>
          <w:lang w:eastAsia="en-US"/>
        </w:rPr>
      </w:r>
    </w:p>
    <w:p>
      <w:pPr>
        <w:pStyle w:val="NormalWeb"/>
        <w:shd w:val="clear" w:color="auto" w:fill="FFFFFF"/>
        <w:tabs>
          <w:tab w:val="left" w:pos="1843" w:leader="none"/>
        </w:tabs>
        <w:spacing w:lineRule="auto" w:line="360" w:before="0" w:after="0"/>
        <w:ind w:left="1134" w:hanging="0"/>
        <w:jc w:val="both"/>
        <w:rPr>
          <w:rFonts w:eastAsia="Calibri" w:eastAsiaTheme="minorHAnsi"/>
          <w:sz w:val="24"/>
          <w:szCs w:val="24"/>
          <w:lang w:eastAsia="en-US"/>
        </w:rPr>
      </w:pPr>
      <w:r>
        <w:rPr>
          <w:rFonts w:eastAsia="Calibri" w:eastAsiaTheme="minorHAnsi"/>
          <w:sz w:val="24"/>
          <w:szCs w:val="24"/>
          <w:lang w:eastAsia="en-US"/>
        </w:rPr>
        <w:t>Figura 33 - Exemplo de termograma DSC.</w:t>
      </w:r>
      <w:bookmarkStart w:id="148" w:name="_Hlk151555073"/>
      <w:bookmarkEnd w:id="148"/>
    </w:p>
    <w:p>
      <w:pPr>
        <w:pStyle w:val="NormalWeb"/>
        <w:shd w:val="clear" w:color="auto" w:fill="FFFFFF"/>
        <w:tabs>
          <w:tab w:val="left" w:pos="1560" w:leader="none"/>
        </w:tabs>
        <w:spacing w:before="0" w:after="0"/>
        <w:jc w:val="center"/>
        <w:rPr>
          <w:rFonts w:ascii="Arial" w:hAnsi="Arial" w:cs="Arial"/>
          <w:color w:val="403D39"/>
          <w:sz w:val="21"/>
          <w:szCs w:val="21"/>
        </w:rPr>
      </w:pPr>
      <w:r>
        <w:rPr/>
        <w:drawing>
          <wp:inline distT="0" distB="0" distL="0" distR="0">
            <wp:extent cx="4027170" cy="2438400"/>
            <wp:effectExtent l="0" t="0" r="0" b="0"/>
            <wp:docPr id="41" name="Imagem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52" descr=""/>
                    <pic:cNvPicPr>
                      <a:picLocks noChangeAspect="1" noChangeArrowheads="1"/>
                    </pic:cNvPicPr>
                  </pic:nvPicPr>
                  <pic:blipFill>
                    <a:blip r:embed="rId38"/>
                    <a:srcRect l="16656" t="27271" r="50049" b="34897"/>
                    <a:stretch>
                      <a:fillRect/>
                    </a:stretch>
                  </pic:blipFill>
                  <pic:spPr bwMode="auto">
                    <a:xfrm>
                      <a:off x="0" y="0"/>
                      <a:ext cx="4027170" cy="2438400"/>
                    </a:xfrm>
                    <a:prstGeom prst="rect">
                      <a:avLst/>
                    </a:prstGeom>
                  </pic:spPr>
                </pic:pic>
              </a:graphicData>
            </a:graphic>
          </wp:inline>
        </w:drawing>
      </w:r>
    </w:p>
    <w:p>
      <w:pPr>
        <w:pStyle w:val="Normal"/>
        <w:shd w:val="clear" w:color="auto" w:fill="FFFFFF"/>
        <w:spacing w:before="0" w:after="0"/>
        <w:ind w:left="1134" w:hanging="0"/>
        <w:jc w:val="both"/>
        <w:rPr>
          <w:rFonts w:ascii="Times New Roman" w:hAnsi="Times New Roman" w:cs="Times New Roman"/>
          <w:sz w:val="20"/>
          <w:szCs w:val="20"/>
        </w:rPr>
      </w:pPr>
      <w:bookmarkStart w:id="149" w:name="figura3"/>
      <w:bookmarkEnd w:id="149"/>
      <w:r>
        <w:rPr>
          <w:rFonts w:cs="Times New Roman" w:ascii="Times New Roman" w:hAnsi="Times New Roman"/>
          <w:sz w:val="20"/>
          <w:szCs w:val="20"/>
        </w:rPr>
        <w:t>Fonte: SANTOS (2010).</w:t>
      </w:r>
    </w:p>
    <w:p>
      <w:pPr>
        <w:pStyle w:val="Normal"/>
        <w:shd w:val="clear" w:color="auto" w:fill="FFFFFF"/>
        <w:spacing w:before="0" w:after="0"/>
        <w:ind w:left="1134" w:right="1559" w:hanging="0"/>
        <w:jc w:val="both"/>
        <w:rPr/>
      </w:pPr>
      <w:hyperlink r:id="rId39">
        <w:r>
          <w:rPr/>
        </w:r>
      </w:hyperlink>
    </w:p>
    <w:p>
      <w:pPr>
        <w:pStyle w:val="Normal"/>
        <w:shd w:val="clear" w:color="auto" w:fill="FFFFFF"/>
        <w:spacing w:lineRule="auto" w:line="360" w:before="0" w:after="0"/>
        <w:ind w:firstLine="1134"/>
        <w:jc w:val="both"/>
        <w:rPr>
          <w:rFonts w:ascii="Times New Roman" w:hAnsi="Times New Roman" w:cs="Times New Roman"/>
          <w:sz w:val="24"/>
          <w:szCs w:val="21"/>
        </w:rPr>
      </w:pPr>
      <w:hyperlink r:id="rId40">
        <w:r>
          <w:rPr>
            <w:rFonts w:cs="Times New Roman" w:ascii="Times New Roman" w:hAnsi="Times New Roman"/>
            <w:sz w:val="24"/>
            <w:szCs w:val="21"/>
          </w:rPr>
          <w:t>Temos em I uma mudança de linha de base sem pico, em II e III picos endotérmicos e IV pico exotérmico.</w:t>
        </w:r>
      </w:hyperlink>
    </w:p>
    <w:p>
      <w:pPr>
        <w:pStyle w:val="Normal"/>
        <w:shd w:val="clear" w:color="auto" w:fill="FFFFFF"/>
        <w:spacing w:lineRule="auto" w:line="360" w:before="0" w:after="0"/>
        <w:ind w:firstLine="1134"/>
        <w:jc w:val="both"/>
        <w:rPr>
          <w:rFonts w:ascii="Times New Roman" w:hAnsi="Times New Roman" w:cs="Times New Roman"/>
          <w:sz w:val="24"/>
          <w:szCs w:val="21"/>
        </w:rPr>
      </w:pPr>
      <w:r>
        <w:rPr>
          <w:rFonts w:cs="Times New Roman" w:ascii="Times New Roman" w:hAnsi="Times New Roman"/>
          <w:sz w:val="24"/>
          <w:szCs w:val="21"/>
        </w:rPr>
        <w:t xml:space="preserve">Nestes experimentos a forma, posição e número de picos são úteis para análise qualitativa, enquanto a área sob os mesmos é de interesse quantitativo no caso do DSC. </w:t>
      </w:r>
    </w:p>
    <w:p>
      <w:pPr>
        <w:pStyle w:val="Normal"/>
        <w:spacing w:lineRule="auto" w:line="360" w:before="0" w:after="0"/>
        <w:ind w:firstLine="1134"/>
        <w:jc w:val="both"/>
        <w:rPr>
          <w:rFonts w:ascii="Times New Roman" w:hAnsi="Times New Roman" w:cs="Times New Roman"/>
          <w:sz w:val="24"/>
          <w:szCs w:val="23"/>
        </w:rPr>
      </w:pPr>
      <w:r>
        <w:rPr>
          <w:rFonts w:cs="Times New Roman" w:ascii="Times New Roman" w:hAnsi="Times New Roman"/>
          <w:sz w:val="24"/>
          <w:szCs w:val="23"/>
        </w:rPr>
        <w:t xml:space="preserve">A cristalização do pó fluxante ocorre a uma determinada temperatura e é acompanhada por uma certa quantidade de energia liberada (processo exotérmico), que é conhecido como calor ou entalpia de cristalização, </w:t>
      </w:r>
      <w:r>
        <w:rPr>
          <w:rFonts w:cs="Times New Roman" w:ascii="Times New Roman" w:hAnsi="Times New Roman"/>
          <w:sz w:val="24"/>
          <w:szCs w:val="24"/>
        </w:rPr>
        <w:t>que pode ser medida por DSC</w:t>
      </w:r>
      <w:r>
        <w:rPr>
          <w:rFonts w:cs="Times New Roman" w:ascii="Times New Roman" w:hAnsi="Times New Roman"/>
          <w:color w:val="000000"/>
          <w:sz w:val="24"/>
          <w:szCs w:val="24"/>
        </w:rPr>
        <w:t>.</w:t>
      </w:r>
    </w:p>
    <w:p>
      <w:pPr>
        <w:pStyle w:val="Normal"/>
        <w:spacing w:lineRule="auto" w:line="360" w:before="0" w:after="0"/>
        <w:ind w:right="61" w:firstLine="1134"/>
        <w:jc w:val="both"/>
        <w:rPr>
          <w:rFonts w:ascii="Times New Roman" w:hAnsi="Times New Roman" w:cs="Times New Roman"/>
          <w:sz w:val="24"/>
          <w:szCs w:val="24"/>
        </w:rPr>
      </w:pPr>
      <w:r>
        <w:rPr>
          <w:rFonts w:cs="Times New Roman" w:ascii="Times New Roman" w:hAnsi="Times New Roman"/>
          <w:sz w:val="24"/>
          <w:szCs w:val="24"/>
        </w:rPr>
        <w:t xml:space="preserve">Com base no fato de que a taxa de liberação de calor é proporcional à taxa de cristalização, o grau relativo de cristalinidade </w:t>
      </w:r>
      <w:r>
        <w:rPr>
          <w:rFonts w:cs="Times New Roman" w:ascii="Times New Roman" w:hAnsi="Times New Roman"/>
          <w:b/>
          <w:i/>
          <w:sz w:val="24"/>
          <w:szCs w:val="24"/>
        </w:rPr>
        <w:t>X</w:t>
      </w:r>
      <w:r>
        <w:rPr>
          <w:rFonts w:cs="Times New Roman" w:ascii="Times New Roman" w:hAnsi="Times New Roman"/>
          <w:sz w:val="24"/>
          <w:szCs w:val="24"/>
        </w:rPr>
        <w:t xml:space="preserve">(t) pode ser obtido de acordo com a seguinte equação </w:t>
      </w:r>
      <w:r>
        <w:rPr>
          <w:rFonts w:cs="Times New Roman" w:ascii="Times New Roman" w:hAnsi="Times New Roman"/>
          <w:color w:val="000000"/>
          <w:sz w:val="24"/>
          <w:szCs w:val="24"/>
        </w:rPr>
        <w:t>(Gabbott, 2008)</w:t>
      </w:r>
      <w:r>
        <w:rPr>
          <w:rFonts w:cs="Times New Roman" w:ascii="Times New Roman" w:hAnsi="Times New Roman"/>
          <w:sz w:val="24"/>
          <w:szCs w:val="24"/>
        </w:rPr>
        <w:t>:</w:t>
      </w:r>
    </w:p>
    <w:p>
      <w:pPr>
        <w:pStyle w:val="Normal"/>
        <w:spacing w:lineRule="auto" w:line="360" w:before="0" w:after="0"/>
        <w:ind w:right="61"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61" w:hanging="0"/>
        <w:jc w:val="both"/>
        <w:rPr>
          <w:rFonts w:ascii="Times New Roman" w:hAnsi="Times New Roman" w:eastAsia="" w:cs="Times New Roman" w:eastAsiaTheme="minorEastAsia"/>
          <w:sz w:val="24"/>
          <w:szCs w:val="24"/>
        </w:rPr>
      </w:pPr>
      <w:r>
        <w:rPr/>
      </w:r>
      <m:oMath xmlns:m="http://schemas.openxmlformats.org/officeDocument/2006/math">
        <m:r>
          <w:rPr>
            <w:rFonts w:ascii="Cambria Math" w:hAnsi="Cambria Math"/>
          </w:rPr>
          <m:t xml:space="preserve">X</m:t>
        </m:r>
        <m:d>
          <m:dPr>
            <m:begChr m:val="("/>
            <m:endChr m:val=")"/>
          </m:dPr>
          <m:e>
            <m:r>
              <w:rPr>
                <w:rFonts w:ascii="Cambria Math" w:hAnsi="Cambria Math"/>
              </w:rPr>
              <m:t xml:space="preserve">t</m:t>
            </m:r>
          </m:e>
        </m:d>
        <m:r>
          <w:rPr>
            <w:rFonts w:ascii="Cambria Math" w:hAnsi="Cambria Math"/>
          </w:rPr>
          <m:t xml:space="preserve">=</m:t>
        </m:r>
        <m:f>
          <m:num>
            <m:nary>
              <m:naryPr>
                <m:chr m:val="∫"/>
              </m:naryPr>
              <m:sub>
                <m:sSub>
                  <m:e>
                    <m:r>
                      <w:rPr>
                        <w:rFonts w:ascii="Cambria Math" w:hAnsi="Cambria Math"/>
                      </w:rPr>
                      <m:t xml:space="preserve">t</m:t>
                    </m:r>
                  </m:e>
                  <m:sub>
                    <m:r>
                      <w:rPr>
                        <w:rFonts w:ascii="Cambria Math" w:hAnsi="Cambria Math"/>
                      </w:rPr>
                      <m:t xml:space="preserve">0</m:t>
                    </m:r>
                  </m:sub>
                </m:sSub>
              </m:sub>
              <m:sup>
                <m:r>
                  <w:rPr>
                    <w:rFonts w:ascii="Cambria Math" w:hAnsi="Cambria Math"/>
                  </w:rPr>
                  <m:t xml:space="preserve">t</m:t>
                </m:r>
              </m:sup>
              <m:e>
                <m:d>
                  <m:dPr>
                    <m:begChr m:val="("/>
                    <m:endChr m:val=")"/>
                  </m:dPr>
                  <m:e>
                    <m:f>
                      <m:num>
                        <m:r>
                          <w:rPr>
                            <w:rFonts w:ascii="Cambria Math" w:hAnsi="Cambria Math"/>
                          </w:rPr>
                          <m:t xml:space="preserve">dH</m:t>
                        </m:r>
                      </m:num>
                      <m:den>
                        <m:r>
                          <w:rPr>
                            <w:rFonts w:ascii="Cambria Math" w:hAnsi="Cambria Math"/>
                          </w:rPr>
                          <m:t xml:space="preserve">dt</m:t>
                        </m:r>
                      </m:den>
                    </m:f>
                  </m:e>
                </m:d>
                <m:r>
                  <w:rPr>
                    <w:rFonts w:ascii="Cambria Math" w:hAnsi="Cambria Math"/>
                  </w:rPr>
                  <m:t xml:space="preserve">dt</m:t>
                </m:r>
              </m:e>
            </m:nary>
          </m:num>
          <m:den>
            <m:nary>
              <m:naryPr>
                <m:chr m:val="∫"/>
              </m:naryPr>
              <m:sub>
                <m:sSub>
                  <m:e>
                    <m:r>
                      <w:rPr>
                        <w:rFonts w:ascii="Cambria Math" w:hAnsi="Cambria Math"/>
                      </w:rPr>
                      <m:t xml:space="preserve">t</m:t>
                    </m:r>
                  </m:e>
                  <m:sub>
                    <m:r>
                      <w:rPr>
                        <w:rFonts w:ascii="Cambria Math" w:hAnsi="Cambria Math"/>
                      </w:rPr>
                      <m:t xml:space="preserve">0</m:t>
                    </m:r>
                  </m:sub>
                </m:sSub>
              </m:sub>
              <m:sup>
                <m:sSub>
                  <m:e>
                    <m:r>
                      <w:rPr>
                        <w:rFonts w:ascii="Cambria Math" w:hAnsi="Cambria Math"/>
                      </w:rPr>
                      <m:t xml:space="preserve">t</m:t>
                    </m:r>
                  </m:e>
                  <m:sub>
                    <m:r>
                      <w:rPr>
                        <w:rFonts w:ascii="Cambria Math" w:hAnsi="Cambria Math"/>
                      </w:rPr>
                      <m:t xml:space="preserve">∞</m:t>
                    </m:r>
                  </m:sub>
                </m:sSub>
              </m:sup>
              <m:e>
                <m:d>
                  <m:dPr>
                    <m:begChr m:val="("/>
                    <m:endChr m:val=")"/>
                  </m:dPr>
                  <m:e>
                    <m:f>
                      <m:num>
                        <m:r>
                          <w:rPr>
                            <w:rFonts w:ascii="Cambria Math" w:hAnsi="Cambria Math"/>
                          </w:rPr>
                          <m:t xml:space="preserve">dH</m:t>
                        </m:r>
                      </m:num>
                      <m:den>
                        <m:r>
                          <w:rPr>
                            <w:rFonts w:ascii="Cambria Math" w:hAnsi="Cambria Math"/>
                          </w:rPr>
                          <m:t xml:space="preserve">dt</m:t>
                        </m:r>
                      </m:den>
                    </m:f>
                  </m:e>
                </m:d>
                <m:r>
                  <w:rPr>
                    <w:rFonts w:ascii="Cambria Math" w:hAnsi="Cambria Math"/>
                  </w:rPr>
                  <m:t xml:space="preserve">dt</m:t>
                </m:r>
              </m:e>
            </m:nary>
          </m:den>
        </m:f>
        <m:r>
          <w:rPr>
            <w:rFonts w:ascii="Cambria Math" w:hAnsi="Cambria Math"/>
          </w:rPr>
          <m:t xml:space="preserve">=</m:t>
        </m:r>
        <m:f>
          <m:num>
            <m:sSub>
              <m:e>
                <m:r>
                  <w:rPr>
                    <w:rFonts w:ascii="Cambria Math" w:hAnsi="Cambria Math"/>
                  </w:rPr>
                  <m:t xml:space="preserve">A</m:t>
                </m:r>
              </m:e>
              <m:sub>
                <m:r>
                  <w:rPr>
                    <w:rFonts w:ascii="Cambria Math" w:hAnsi="Cambria Math"/>
                  </w:rPr>
                  <m:t xml:space="preserve">0</m:t>
                </m:r>
              </m:sub>
            </m:sSub>
          </m:num>
          <m:den>
            <m:sSub>
              <m:e>
                <m:r>
                  <w:rPr>
                    <w:rFonts w:ascii="Cambria Math" w:hAnsi="Cambria Math"/>
                  </w:rPr>
                  <m:t xml:space="preserve">A</m:t>
                </m:r>
              </m:e>
              <m:sub>
                <m:r>
                  <w:rPr>
                    <w:rFonts w:ascii="Cambria Math" w:hAnsi="Cambria Math"/>
                  </w:rPr>
                  <m:t xml:space="preserve">∞</m:t>
                </m:r>
              </m:sub>
            </m:sSub>
          </m:den>
        </m:f>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sz w:val="24"/>
          <w:szCs w:val="24"/>
        </w:rPr>
        <w:t>(25)</w:t>
      </w:r>
    </w:p>
    <w:p>
      <w:pPr>
        <w:pStyle w:val="Normal"/>
        <w:spacing w:lineRule="auto" w:line="360" w:before="0" w:after="0"/>
        <w:ind w:right="61"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w:t>
      </w:r>
      <w:r>
        <w:rPr>
          <w:rFonts w:cs="Times New Roman" w:ascii="Times New Roman" w:hAnsi="Times New Roman"/>
          <w:i/>
          <w:iCs/>
          <w:sz w:val="24"/>
          <w:szCs w:val="24"/>
        </w:rPr>
        <w:t>t</w:t>
      </w:r>
      <w:r>
        <w:rPr>
          <w:rFonts w:cs="Times New Roman" w:ascii="Times New Roman" w:hAnsi="Times New Roman"/>
          <w:i/>
          <w:iCs/>
          <w:sz w:val="24"/>
          <w:szCs w:val="24"/>
          <w:vertAlign w:val="subscript"/>
        </w:rPr>
        <w:t>0</w:t>
      </w:r>
      <w:r>
        <w:rPr>
          <w:rFonts w:cs="Times New Roman" w:ascii="Times New Roman" w:hAnsi="Times New Roman"/>
          <w:i/>
          <w:iCs/>
          <w:sz w:val="24"/>
          <w:szCs w:val="24"/>
        </w:rPr>
        <w:t xml:space="preserve"> </w:t>
      </w:r>
      <w:r>
        <w:rPr>
          <w:rFonts w:cs="Times New Roman" w:ascii="Times New Roman" w:hAnsi="Times New Roman"/>
          <w:sz w:val="24"/>
          <w:szCs w:val="24"/>
        </w:rPr>
        <w:t xml:space="preserve">e </w:t>
      </w:r>
      <w:r>
        <w:rPr>
          <w:rFonts w:cs="Times New Roman" w:ascii="Times New Roman" w:hAnsi="Times New Roman"/>
          <w:i/>
          <w:iCs/>
          <w:sz w:val="24"/>
          <w:szCs w:val="24"/>
        </w:rPr>
        <w:t>t</w:t>
      </w:r>
      <w:r>
        <w:rPr>
          <w:rFonts w:cs="Times New Roman" w:ascii="Times New Roman" w:hAnsi="Times New Roman"/>
          <w:i/>
          <w:iCs/>
          <w:sz w:val="24"/>
          <w:szCs w:val="24"/>
          <w:vertAlign w:val="subscript"/>
        </w:rPr>
        <w:t>ꝏ</w:t>
      </w:r>
      <w:r>
        <w:rPr>
          <w:rFonts w:cs="Times New Roman" w:ascii="Times New Roman" w:hAnsi="Times New Roman"/>
          <w:sz w:val="24"/>
          <w:szCs w:val="24"/>
        </w:rPr>
        <w:t xml:space="preserve"> representam os tempos de início e término da cristalização, respectivamente, e </w:t>
      </w:r>
      <w:r>
        <w:rPr>
          <w:rFonts w:cs="Times New Roman" w:ascii="Times New Roman" w:hAnsi="Times New Roman"/>
          <w:i/>
          <w:iCs/>
          <w:sz w:val="24"/>
          <w:szCs w:val="24"/>
        </w:rPr>
        <w:t xml:space="preserve">t </w:t>
      </w:r>
      <w:r>
        <w:rPr>
          <w:rFonts w:cs="Times New Roman" w:ascii="Times New Roman" w:hAnsi="Times New Roman"/>
          <w:sz w:val="24"/>
          <w:szCs w:val="24"/>
        </w:rPr>
        <w:t xml:space="preserve">um tempo intermediário qualquer. Os termos </w:t>
      </w:r>
      <w:r>
        <w:rPr>
          <w:rFonts w:cs="Times New Roman" w:ascii="Times New Roman" w:hAnsi="Times New Roman"/>
          <w:i/>
          <w:iCs/>
          <w:sz w:val="24"/>
          <w:szCs w:val="24"/>
        </w:rPr>
        <w:t>A</w:t>
      </w:r>
      <w:r>
        <w:rPr>
          <w:rFonts w:cs="Times New Roman" w:ascii="Times New Roman" w:hAnsi="Times New Roman"/>
          <w:i/>
          <w:iCs/>
          <w:sz w:val="24"/>
          <w:szCs w:val="24"/>
          <w:vertAlign w:val="subscript"/>
        </w:rPr>
        <w:t>0</w:t>
      </w:r>
      <w:r>
        <w:rPr>
          <w:rFonts w:cs="Times New Roman" w:ascii="Times New Roman" w:hAnsi="Times New Roman"/>
          <w:i/>
          <w:iCs/>
          <w:sz w:val="24"/>
          <w:szCs w:val="24"/>
        </w:rPr>
        <w:t>,</w:t>
      </w:r>
      <w:r>
        <w:rPr>
          <w:rFonts w:cs="Times New Roman" w:ascii="Times New Roman" w:hAnsi="Times New Roman"/>
          <w:iCs/>
          <w:sz w:val="24"/>
          <w:szCs w:val="24"/>
        </w:rPr>
        <w:t xml:space="preserve"> área parcial, </w:t>
      </w:r>
      <w:r>
        <w:rPr>
          <w:rFonts w:cs="Times New Roman" w:ascii="Times New Roman" w:hAnsi="Times New Roman"/>
          <w:sz w:val="24"/>
          <w:szCs w:val="24"/>
        </w:rPr>
        <w:t xml:space="preserve">é a entalpia em função do tempo de consumo desde o início até um determinado tempo de cristalização e </w:t>
      </w:r>
      <w:r>
        <w:rPr>
          <w:rFonts w:cs="Times New Roman" w:ascii="Times New Roman" w:hAnsi="Times New Roman"/>
          <w:i/>
          <w:iCs/>
          <w:sz w:val="24"/>
          <w:szCs w:val="24"/>
        </w:rPr>
        <w:t>A</w:t>
      </w:r>
      <w:r>
        <w:rPr>
          <w:rFonts w:cs="Times New Roman" w:ascii="Times New Roman" w:hAnsi="Times New Roman"/>
          <w:i/>
          <w:iCs/>
          <w:sz w:val="24"/>
          <w:szCs w:val="24"/>
          <w:vertAlign w:val="subscript"/>
        </w:rPr>
        <w:t>ꝏ</w:t>
      </w:r>
      <w:r>
        <w:rPr>
          <w:rFonts w:cs="Times New Roman" w:ascii="Times New Roman" w:hAnsi="Times New Roman"/>
          <w:iCs/>
          <w:sz w:val="24"/>
          <w:szCs w:val="24"/>
        </w:rPr>
        <w:t xml:space="preserve">, área total, é </w:t>
      </w:r>
      <w:r>
        <w:rPr>
          <w:rFonts w:cs="Times New Roman" w:ascii="Times New Roman" w:hAnsi="Times New Roman"/>
          <w:sz w:val="24"/>
          <w:szCs w:val="24"/>
        </w:rPr>
        <w:t xml:space="preserve">sob a curva de DSC.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Determinando as áreas parciais e total do primeiro pico, é possível obter-se o grau relativo de cristalinidade do pó fluxante X(t), como ilustrado na figura 34.</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1985" w:right="1984" w:hanging="0"/>
        <w:jc w:val="both"/>
        <w:rPr>
          <w:rFonts w:ascii="Times New Roman" w:hAnsi="Times New Roman" w:cs="Times New Roman"/>
          <w:sz w:val="24"/>
          <w:szCs w:val="24"/>
        </w:rPr>
      </w:pPr>
      <w:r>
        <w:rPr>
          <w:rFonts w:cs="Times New Roman" w:ascii="Times New Roman" w:hAnsi="Times New Roman"/>
          <w:sz w:val="24"/>
          <w:szCs w:val="24"/>
        </w:rPr>
        <w:t>Figura 34 - Representação do cálculo de fração cristalizada a partir do pico de cristalização.</w:t>
      </w:r>
      <w:bookmarkStart w:id="150" w:name="_Hlk153810673"/>
      <w:bookmarkEnd w:id="150"/>
    </w:p>
    <w:p>
      <w:pPr>
        <w:pStyle w:val="Normal"/>
        <w:spacing w:lineRule="auto" w:line="360" w:before="0" w:after="0"/>
        <w:jc w:val="center"/>
        <w:rPr>
          <w:rFonts w:ascii="Times New Roman" w:hAnsi="Times New Roman" w:cs="Times New Roman"/>
          <w:color w:val="000000"/>
          <w:sz w:val="24"/>
          <w:szCs w:val="24"/>
        </w:rPr>
      </w:pPr>
      <w:r>
        <w:rPr/>
        <w:drawing>
          <wp:inline distT="0" distB="3810" distL="0" distR="0">
            <wp:extent cx="2998470" cy="2282190"/>
            <wp:effectExtent l="0" t="0" r="0" b="0"/>
            <wp:docPr id="42" name="Imagem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34" descr=""/>
                    <pic:cNvPicPr>
                      <a:picLocks noChangeAspect="1" noChangeArrowheads="1"/>
                    </pic:cNvPicPr>
                  </pic:nvPicPr>
                  <pic:blipFill>
                    <a:blip r:embed="rId41"/>
                    <a:srcRect l="31229" t="39502" r="35706" b="12662"/>
                    <a:stretch>
                      <a:fillRect/>
                    </a:stretch>
                  </pic:blipFill>
                  <pic:spPr bwMode="auto">
                    <a:xfrm>
                      <a:off x="0" y="0"/>
                      <a:ext cx="2998470" cy="2282190"/>
                    </a:xfrm>
                    <a:prstGeom prst="rect">
                      <a:avLst/>
                    </a:prstGeom>
                  </pic:spPr>
                </pic:pic>
              </a:graphicData>
            </a:graphic>
          </wp:inline>
        </w:drawing>
      </w:r>
    </w:p>
    <w:p>
      <w:pPr>
        <w:pStyle w:val="Normal"/>
        <w:spacing w:lineRule="auto" w:line="240" w:before="0" w:after="0"/>
        <w:ind w:left="1985" w:hanging="0"/>
        <w:jc w:val="both"/>
        <w:rPr>
          <w:rFonts w:ascii="Times New Roman" w:hAnsi="Times New Roman" w:cs="Times New Roman"/>
          <w:color w:val="000000"/>
          <w:sz w:val="20"/>
          <w:szCs w:val="24"/>
        </w:rPr>
      </w:pPr>
      <w:r>
        <w:rPr>
          <w:rFonts w:cs="Times New Roman" w:ascii="Times New Roman" w:hAnsi="Times New Roman"/>
          <w:color w:val="000000"/>
          <w:sz w:val="20"/>
          <w:szCs w:val="24"/>
        </w:rPr>
        <w:t xml:space="preserve">Fonte: </w:t>
      </w:r>
      <w:bookmarkStart w:id="151" w:name="_Hlk156989010"/>
      <w:r>
        <w:rPr>
          <w:rFonts w:cs="Times New Roman" w:ascii="Times New Roman" w:hAnsi="Times New Roman"/>
          <w:color w:val="000000"/>
          <w:sz w:val="20"/>
          <w:szCs w:val="24"/>
          <w:shd w:fill="FFFFFF" w:val="clear"/>
        </w:rPr>
        <w:t>SIDEL et. al. (2018</w:t>
      </w:r>
      <w:bookmarkEnd w:id="151"/>
      <w:r>
        <w:rPr>
          <w:rFonts w:cs="Times New Roman" w:ascii="Times New Roman" w:hAnsi="Times New Roman"/>
          <w:color w:val="000000"/>
          <w:sz w:val="20"/>
          <w:szCs w:val="24"/>
          <w:shd w:fill="FFFFFF" w:val="clear"/>
        </w:rPr>
        <w:t>).</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p>
    <w:p>
      <w:pPr>
        <w:pStyle w:val="Default"/>
        <w:spacing w:lineRule="auto" w:line="360"/>
        <w:jc w:val="both"/>
        <w:rPr>
          <w:b/>
          <w:b/>
          <w:bCs/>
          <w:iCs/>
        </w:rPr>
      </w:pPr>
      <w:r>
        <w:rPr>
          <w:b/>
          <w:bCs/>
          <w:iCs/>
        </w:rPr>
        <w:t xml:space="preserve">3.7 Microscópico Eletrônico de Varredura (MEV) </w:t>
      </w:r>
    </w:p>
    <w:p>
      <w:pPr>
        <w:pStyle w:val="Default"/>
        <w:spacing w:lineRule="auto" w:line="360"/>
        <w:jc w:val="both"/>
        <w:rPr/>
      </w:pPr>
      <w:r>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 MEV é um dos mais versáteis instrumentos disponíveis para a observação e análise das características microestruturais de materiais sólidos. Uma característica importante do MEV é a aparência tridimensional da imagem das amostras, resultado direto da grande profundidade de campo. Permite, também, o exame em pequenos aumentos e com grande profundidade de foco.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Seu princípio de funcionamento consiste em utilizar um feixe de elétrons de pequeno diâmetro para explorar a superfície da amostra, ponto a ponto, por linhas sucessivas e transmitir o sinal do detector a uma tela catódica cuja varredura está perfeitamente sincronizada com aquela do feixe incidente. Por um sistema de bobinas de deflexão, o feixe pode ser guiado de modo a varrer a superfície da amostra segundo uma malha retangular. O sinal de imagem resulta da interação do feixe incidente com a superfície da amostra. O sinal recolhido pelo detector é utilizado para modular o brilho do monitor, permitindo a observação. Este aparelho pode fornecer rapidamente informações sobre a morfologia e identificação de elementos químicos de uma amostra sólida. Sua utilização é comum em biologia, odontologia, farmácia, engenharia, química, metalurgia, física, medicina e geologia (Dedavid; Gomes; Machado, 2007). </w:t>
      </w:r>
    </w:p>
    <w:p>
      <w:pPr>
        <w:pStyle w:val="Normal"/>
        <w:spacing w:lineRule="auto" w:line="360" w:before="0" w:after="0"/>
        <w:ind w:firstLine="708"/>
        <w:jc w:val="both"/>
        <w:rPr>
          <w:rFonts w:ascii="Times New Roman" w:hAnsi="Times New Roman" w:cs="Times New Roman"/>
          <w:sz w:val="28"/>
          <w:szCs w:val="24"/>
        </w:rPr>
      </w:pPr>
      <w:r>
        <w:rPr>
          <w:rFonts w:cs="Times New Roman" w:ascii="Times New Roman" w:hAnsi="Times New Roman"/>
          <w:sz w:val="24"/>
          <w:szCs w:val="23"/>
        </w:rPr>
        <w:t>A figura 35 mostra um exemplo de uma análise de MEV para a caracterização da morfologia material cerâmico.</w:t>
      </w:r>
    </w:p>
    <w:p>
      <w:pPr>
        <w:pStyle w:val="Normal"/>
        <w:spacing w:lineRule="auto" w:line="360" w:before="0" w:after="0"/>
        <w:ind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1418" w:hanging="0"/>
        <w:jc w:val="both"/>
        <w:rPr>
          <w:rFonts w:ascii="Times New Roman" w:hAnsi="Times New Roman" w:cs="Times New Roman"/>
          <w:b/>
          <w:b/>
          <w:sz w:val="28"/>
          <w:szCs w:val="24"/>
        </w:rPr>
      </w:pPr>
      <w:r>
        <w:rPr>
          <w:rFonts w:cs="Times New Roman" w:ascii="Times New Roman" w:hAnsi="Times New Roman"/>
          <w:sz w:val="24"/>
          <w:szCs w:val="23"/>
        </w:rPr>
        <w:t>Figura 35 - MEV de um material cerâmico.</w:t>
      </w:r>
    </w:p>
    <w:p>
      <w:pPr>
        <w:pStyle w:val="Normal"/>
        <w:spacing w:lineRule="auto" w:line="360" w:before="0" w:after="0"/>
        <w:jc w:val="center"/>
        <w:rPr>
          <w:rFonts w:ascii="Times New Roman" w:hAnsi="Times New Roman" w:cs="Times New Roman"/>
          <w:b/>
          <w:b/>
          <w:sz w:val="24"/>
          <w:szCs w:val="24"/>
        </w:rPr>
      </w:pPr>
      <w:r>
        <w:rPr/>
        <w:drawing>
          <wp:inline distT="0" distB="1905" distL="0" distR="5715">
            <wp:extent cx="3633470" cy="2817495"/>
            <wp:effectExtent l="0" t="0" r="0" b="0"/>
            <wp:docPr id="43" name="Imagem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
                    <pic:cNvPicPr>
                      <a:picLocks noChangeAspect="1" noChangeArrowheads="1"/>
                    </pic:cNvPicPr>
                  </pic:nvPicPr>
                  <pic:blipFill>
                    <a:blip r:embed="rId42"/>
                    <a:srcRect l="15013" t="29680" r="42839" b="8981"/>
                    <a:stretch>
                      <a:fillRect/>
                    </a:stretch>
                  </pic:blipFill>
                  <pic:spPr bwMode="auto">
                    <a:xfrm>
                      <a:off x="0" y="0"/>
                      <a:ext cx="3633470" cy="2817495"/>
                    </a:xfrm>
                    <a:prstGeom prst="rect">
                      <a:avLst/>
                    </a:prstGeom>
                  </pic:spPr>
                </pic:pic>
              </a:graphicData>
            </a:graphic>
          </wp:inline>
        </w:drawing>
      </w:r>
    </w:p>
    <w:p>
      <w:pPr>
        <w:pStyle w:val="Normal"/>
        <w:spacing w:lineRule="auto" w:line="360" w:before="0" w:after="0"/>
        <w:ind w:left="1418" w:hanging="0"/>
        <w:jc w:val="both"/>
        <w:rPr>
          <w:rFonts w:ascii="Times New Roman" w:hAnsi="Times New Roman" w:cs="Times New Roman"/>
          <w:sz w:val="20"/>
          <w:szCs w:val="24"/>
        </w:rPr>
      </w:pPr>
      <w:r>
        <w:rPr>
          <w:rFonts w:cs="Times New Roman" w:ascii="Times New Roman" w:hAnsi="Times New Roman"/>
          <w:sz w:val="20"/>
          <w:szCs w:val="24"/>
        </w:rPr>
        <w:t>Fonte: MEDEIROS (2019, com adaptações)</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4 MATERIAIS E MÉTODOS</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p>
    <w:p>
      <w:pPr>
        <w:pStyle w:val="Corpodetexto"/>
        <w:spacing w:lineRule="auto" w:line="360" w:before="0" w:after="0"/>
        <w:ind w:firstLine="1134"/>
        <w:jc w:val="both"/>
        <w:rPr>
          <w:rFonts w:ascii="Times New Roman" w:hAnsi="Times New Roman" w:cs="Times New Roman"/>
          <w:color w:val="121412"/>
          <w:sz w:val="24"/>
          <w:szCs w:val="24"/>
        </w:rPr>
      </w:pPr>
      <w:bookmarkStart w:id="152" w:name="_Hlk160778252"/>
      <w:r>
        <w:rPr>
          <w:rFonts w:cs="Times New Roman" w:ascii="Times New Roman" w:hAnsi="Times New Roman"/>
          <w:color w:val="121412"/>
          <w:sz w:val="24"/>
          <w:szCs w:val="24"/>
        </w:rPr>
        <w:t>Foi produzida, em laboratório, uma amostra de pó fluxante, livre de flúor, que será chamada de pó fluxante A</w:t>
      </w:r>
      <w:bookmarkEnd w:id="152"/>
      <w:r>
        <w:rPr>
          <w:rFonts w:cs="Times New Roman" w:ascii="Times New Roman" w:hAnsi="Times New Roman"/>
          <w:color w:val="121412"/>
          <w:sz w:val="24"/>
          <w:szCs w:val="24"/>
        </w:rPr>
        <w:t xml:space="preserve">. Esta amostra será comparada com as amostras com flúor, descritas na literatura onde os autores chamaram de B e D. </w:t>
      </w:r>
      <w:r>
        <w:rPr>
          <w:rFonts w:cs="Times New Roman" w:ascii="Times New Roman" w:hAnsi="Times New Roman"/>
          <w:w w:val="105"/>
          <w:sz w:val="24"/>
          <w:szCs w:val="24"/>
        </w:rPr>
        <w:t>(Myung-Duk</w:t>
      </w:r>
      <w:r>
        <w:rPr>
          <w:rFonts w:cs="Times New Roman" w:ascii="Times New Roman" w:hAnsi="Times New Roman"/>
          <w:spacing w:val="-9"/>
          <w:w w:val="105"/>
          <w:sz w:val="24"/>
          <w:szCs w:val="24"/>
        </w:rPr>
        <w:t xml:space="preserve"> </w:t>
      </w:r>
      <w:r>
        <w:rPr>
          <w:rFonts w:cs="Times New Roman" w:ascii="Times New Roman" w:hAnsi="Times New Roman"/>
          <w:w w:val="105"/>
          <w:sz w:val="24"/>
          <w:szCs w:val="24"/>
        </w:rPr>
        <w:t>Seo et. al., 2015)</w:t>
      </w:r>
      <w:r>
        <w:rPr>
          <w:rFonts w:cs="Times New Roman" w:ascii="Times New Roman" w:hAnsi="Times New Roman"/>
          <w:color w:val="121412"/>
          <w:sz w:val="24"/>
          <w:szCs w:val="24"/>
        </w:rPr>
        <w:t>.</w:t>
      </w:r>
    </w:p>
    <w:p>
      <w:pPr>
        <w:pStyle w:val="Corpodetexto"/>
        <w:spacing w:lineRule="auto" w:line="360" w:before="0" w:after="0"/>
        <w:ind w:firstLine="1134"/>
        <w:jc w:val="both"/>
        <w:rPr>
          <w:rFonts w:ascii="Times New Roman" w:hAnsi="Times New Roman" w:cs="Times New Roman"/>
          <w:color w:val="121412"/>
          <w:sz w:val="24"/>
          <w:szCs w:val="24"/>
        </w:rPr>
      </w:pPr>
      <w:r>
        <w:rPr>
          <w:rFonts w:cs="Times New Roman" w:ascii="Times New Roman" w:hAnsi="Times New Roman"/>
          <w:color w:val="121412"/>
          <w:sz w:val="24"/>
          <w:szCs w:val="24"/>
        </w:rPr>
      </w:r>
    </w:p>
    <w:p>
      <w:pPr>
        <w:pStyle w:val="Corpodetexto"/>
        <w:spacing w:lineRule="auto" w:line="360" w:before="0" w:after="0"/>
        <w:jc w:val="center"/>
        <w:rPr>
          <w:rFonts w:ascii="Times New Roman" w:hAnsi="Times New Roman" w:cs="Times New Roman"/>
          <w:color w:val="121412"/>
          <w:sz w:val="24"/>
          <w:szCs w:val="24"/>
        </w:rPr>
      </w:pPr>
      <w:r>
        <w:rPr>
          <w:rFonts w:cs="Times New Roman" w:ascii="Times New Roman" w:hAnsi="Times New Roman"/>
          <w:color w:val="121412"/>
          <w:sz w:val="24"/>
          <w:szCs w:val="24"/>
        </w:rPr>
        <w:t>Tabela 3 - Composição química dos pós fluxantes B e D.</w:t>
      </w:r>
    </w:p>
    <w:tbl>
      <w:tblPr>
        <w:tblStyle w:val="Tabelacomgrade"/>
        <w:tblW w:w="5858" w:type="dxa"/>
        <w:jc w:val="center"/>
        <w:tblInd w:w="0" w:type="dxa"/>
        <w:tblCellMar>
          <w:top w:w="0" w:type="dxa"/>
          <w:left w:w="108" w:type="dxa"/>
          <w:bottom w:w="0" w:type="dxa"/>
          <w:right w:w="108" w:type="dxa"/>
        </w:tblCellMar>
        <w:tblLook w:noVBand="1" w:val="04a0" w:noHBand="0" w:lastColumn="0" w:firstColumn="1" w:lastRow="0" w:firstRow="1"/>
      </w:tblPr>
      <w:tblGrid>
        <w:gridCol w:w="1132"/>
        <w:gridCol w:w="593"/>
        <w:gridCol w:w="583"/>
        <w:gridCol w:w="639"/>
        <w:gridCol w:w="691"/>
        <w:gridCol w:w="660"/>
        <w:gridCol w:w="466"/>
        <w:gridCol w:w="1093"/>
      </w:tblGrid>
      <w:tr>
        <w:trPr>
          <w:trHeight w:val="284" w:hRule="atLeast"/>
        </w:trPr>
        <w:tc>
          <w:tcPr>
            <w:tcW w:w="1132" w:type="dxa"/>
            <w:tcBorders>
              <w:left w:val="nil"/>
              <w:right w:val="nil"/>
              <w:insideV w:val="nil"/>
            </w:tcBorders>
            <w:shd w:fill="auto" w:val="clear"/>
            <w:vAlign w:val="center"/>
          </w:tcPr>
          <w:p>
            <w:pPr>
              <w:pStyle w:val="Corpodetexto"/>
              <w:spacing w:lineRule="auto" w:line="360" w:before="0" w:after="0"/>
              <w:jc w:val="both"/>
              <w:rPr>
                <w:color w:val="121412"/>
                <w:szCs w:val="24"/>
              </w:rPr>
            </w:pPr>
            <w:r>
              <w:rPr>
                <w:rFonts w:eastAsia="SimSun" w:cs="Times New Roman" w:ascii="Times New Roman" w:hAnsi="Times New Roman"/>
                <w:color w:val="121412"/>
                <w:sz w:val="20"/>
                <w:szCs w:val="24"/>
                <w:lang w:eastAsia="pt-BR"/>
              </w:rPr>
              <w:t>Pó fluxante</w:t>
            </w:r>
          </w:p>
        </w:tc>
        <w:tc>
          <w:tcPr>
            <w:tcW w:w="593" w:type="dxa"/>
            <w:tcBorders>
              <w:left w:val="nil"/>
              <w:right w:val="nil"/>
              <w:insideV w:val="nil"/>
            </w:tcBorders>
            <w:shd w:fill="auto" w:val="clear"/>
            <w:vAlign w:val="center"/>
          </w:tcPr>
          <w:p>
            <w:pPr>
              <w:pStyle w:val="Corpodetexto"/>
              <w:spacing w:lineRule="auto" w:line="360" w:before="0" w:after="0"/>
              <w:jc w:val="both"/>
              <w:rPr>
                <w:color w:val="121412"/>
                <w:szCs w:val="24"/>
                <w:vertAlign w:val="subscript"/>
              </w:rPr>
            </w:pPr>
            <w:r>
              <w:rPr>
                <w:rFonts w:eastAsia="SimSun" w:cs="Times New Roman" w:ascii="Times New Roman" w:hAnsi="Times New Roman"/>
                <w:color w:val="121412"/>
                <w:sz w:val="20"/>
                <w:szCs w:val="24"/>
                <w:lang w:eastAsia="pt-BR"/>
              </w:rPr>
              <w:t>SiO</w:t>
            </w:r>
            <w:r>
              <w:rPr>
                <w:rFonts w:eastAsia="SimSun" w:cs="Times New Roman" w:ascii="Times New Roman" w:hAnsi="Times New Roman"/>
                <w:color w:val="121412"/>
                <w:sz w:val="20"/>
                <w:szCs w:val="24"/>
                <w:vertAlign w:val="subscript"/>
                <w:lang w:eastAsia="pt-BR"/>
              </w:rPr>
              <w:t>2</w:t>
            </w:r>
          </w:p>
        </w:tc>
        <w:tc>
          <w:tcPr>
            <w:tcW w:w="583" w:type="dxa"/>
            <w:tcBorders>
              <w:left w:val="nil"/>
              <w:right w:val="nil"/>
              <w:insideV w:val="nil"/>
            </w:tcBorders>
            <w:shd w:fill="auto" w:val="clear"/>
            <w:vAlign w:val="center"/>
          </w:tcPr>
          <w:p>
            <w:pPr>
              <w:pStyle w:val="Corpodetexto"/>
              <w:spacing w:lineRule="auto" w:line="360" w:before="0" w:after="0"/>
              <w:jc w:val="both"/>
              <w:rPr>
                <w:color w:val="121412"/>
                <w:szCs w:val="24"/>
              </w:rPr>
            </w:pPr>
            <w:r>
              <w:rPr>
                <w:rFonts w:eastAsia="SimSun" w:cs="Times New Roman" w:ascii="Times New Roman" w:hAnsi="Times New Roman"/>
                <w:color w:val="121412"/>
                <w:sz w:val="20"/>
                <w:szCs w:val="24"/>
                <w:lang w:eastAsia="pt-BR"/>
              </w:rPr>
              <w:t>CaO</w:t>
            </w:r>
          </w:p>
        </w:tc>
        <w:tc>
          <w:tcPr>
            <w:tcW w:w="639" w:type="dxa"/>
            <w:tcBorders>
              <w:left w:val="nil"/>
              <w:right w:val="nil"/>
              <w:insideV w:val="nil"/>
            </w:tcBorders>
            <w:shd w:fill="auto" w:val="clear"/>
            <w:vAlign w:val="center"/>
          </w:tcPr>
          <w:p>
            <w:pPr>
              <w:pStyle w:val="Corpodetexto"/>
              <w:spacing w:lineRule="auto" w:line="360" w:before="0" w:after="0"/>
              <w:jc w:val="both"/>
              <w:rPr>
                <w:color w:val="121412"/>
                <w:szCs w:val="24"/>
              </w:rPr>
            </w:pPr>
            <w:r>
              <w:rPr>
                <w:rFonts w:eastAsia="SimSun" w:cs="Times New Roman" w:ascii="Times New Roman" w:hAnsi="Times New Roman"/>
                <w:color w:val="121412"/>
                <w:sz w:val="20"/>
                <w:szCs w:val="24"/>
                <w:lang w:eastAsia="pt-BR"/>
              </w:rPr>
              <w:t>MgO</w:t>
            </w:r>
          </w:p>
        </w:tc>
        <w:tc>
          <w:tcPr>
            <w:tcW w:w="691" w:type="dxa"/>
            <w:tcBorders>
              <w:left w:val="nil"/>
              <w:right w:val="nil"/>
              <w:insideV w:val="nil"/>
            </w:tcBorders>
            <w:shd w:fill="auto" w:val="clear"/>
            <w:vAlign w:val="center"/>
          </w:tcPr>
          <w:p>
            <w:pPr>
              <w:pStyle w:val="Corpodetexto"/>
              <w:spacing w:lineRule="auto" w:line="360" w:before="0" w:after="0"/>
              <w:jc w:val="both"/>
              <w:rPr>
                <w:color w:val="121412"/>
                <w:szCs w:val="24"/>
                <w:vertAlign w:val="subscript"/>
              </w:rPr>
            </w:pPr>
            <w:r>
              <w:rPr>
                <w:rFonts w:eastAsia="SimSun" w:cs="Times New Roman" w:ascii="Times New Roman" w:hAnsi="Times New Roman"/>
                <w:color w:val="121412"/>
                <w:sz w:val="20"/>
                <w:szCs w:val="24"/>
                <w:lang w:eastAsia="pt-BR"/>
              </w:rPr>
              <w:t>Al</w:t>
            </w:r>
            <w:r>
              <w:rPr>
                <w:rFonts w:eastAsia="SimSun" w:cs="Times New Roman" w:ascii="Times New Roman" w:hAnsi="Times New Roman"/>
                <w:color w:val="121412"/>
                <w:sz w:val="20"/>
                <w:szCs w:val="24"/>
                <w:vertAlign w:val="subscript"/>
                <w:lang w:eastAsia="pt-BR"/>
              </w:rPr>
              <w:t>2</w:t>
            </w:r>
            <w:r>
              <w:rPr>
                <w:rFonts w:eastAsia="SimSun" w:cs="Times New Roman" w:ascii="Times New Roman" w:hAnsi="Times New Roman"/>
                <w:color w:val="121412"/>
                <w:sz w:val="20"/>
                <w:szCs w:val="24"/>
                <w:lang w:eastAsia="pt-BR"/>
              </w:rPr>
              <w:t>O</w:t>
            </w:r>
            <w:r>
              <w:rPr>
                <w:rFonts w:eastAsia="SimSun" w:cs="Times New Roman" w:ascii="Times New Roman" w:hAnsi="Times New Roman"/>
                <w:color w:val="121412"/>
                <w:sz w:val="20"/>
                <w:szCs w:val="24"/>
                <w:vertAlign w:val="subscript"/>
                <w:lang w:eastAsia="pt-BR"/>
              </w:rPr>
              <w:t>3</w:t>
            </w:r>
          </w:p>
        </w:tc>
        <w:tc>
          <w:tcPr>
            <w:tcW w:w="660" w:type="dxa"/>
            <w:tcBorders>
              <w:left w:val="nil"/>
              <w:right w:val="nil"/>
              <w:insideV w:val="nil"/>
            </w:tcBorders>
            <w:shd w:fill="auto" w:val="clear"/>
            <w:vAlign w:val="center"/>
          </w:tcPr>
          <w:p>
            <w:pPr>
              <w:pStyle w:val="Corpodetexto"/>
              <w:spacing w:lineRule="auto" w:line="360" w:before="0" w:after="0"/>
              <w:jc w:val="both"/>
              <w:rPr>
                <w:color w:val="121412"/>
                <w:szCs w:val="24"/>
              </w:rPr>
            </w:pPr>
            <w:r>
              <w:rPr>
                <w:rFonts w:eastAsia="SimSun" w:cs="Times New Roman" w:ascii="Times New Roman" w:hAnsi="Times New Roman"/>
                <w:color w:val="121412"/>
                <w:sz w:val="20"/>
                <w:szCs w:val="24"/>
                <w:lang w:eastAsia="pt-BR"/>
              </w:rPr>
              <w:t>Na</w:t>
            </w:r>
            <w:r>
              <w:rPr>
                <w:rFonts w:eastAsia="SimSun" w:cs="Times New Roman" w:ascii="Times New Roman" w:hAnsi="Times New Roman"/>
                <w:color w:val="121412"/>
                <w:sz w:val="20"/>
                <w:szCs w:val="24"/>
                <w:vertAlign w:val="subscript"/>
                <w:lang w:eastAsia="pt-BR"/>
              </w:rPr>
              <w:t>2</w:t>
            </w:r>
            <w:r>
              <w:rPr>
                <w:rFonts w:eastAsia="SimSun" w:cs="Times New Roman" w:ascii="Times New Roman" w:hAnsi="Times New Roman"/>
                <w:color w:val="121412"/>
                <w:sz w:val="20"/>
                <w:szCs w:val="24"/>
                <w:lang w:eastAsia="pt-BR"/>
              </w:rPr>
              <w:t>O</w:t>
            </w:r>
          </w:p>
        </w:tc>
        <w:tc>
          <w:tcPr>
            <w:tcW w:w="466" w:type="dxa"/>
            <w:tcBorders>
              <w:left w:val="nil"/>
              <w:right w:val="nil"/>
              <w:insideV w:val="nil"/>
            </w:tcBorders>
            <w:shd w:fill="auto" w:val="clear"/>
            <w:vAlign w:val="center"/>
          </w:tcPr>
          <w:p>
            <w:pPr>
              <w:pStyle w:val="Corpodetexto"/>
              <w:spacing w:lineRule="auto" w:line="360" w:before="0" w:after="0"/>
              <w:jc w:val="both"/>
              <w:rPr>
                <w:color w:val="121412"/>
                <w:szCs w:val="24"/>
              </w:rPr>
            </w:pPr>
            <w:r>
              <w:rPr>
                <w:rFonts w:eastAsia="SimSun" w:cs="Times New Roman" w:ascii="Times New Roman" w:hAnsi="Times New Roman"/>
                <w:color w:val="121412"/>
                <w:sz w:val="20"/>
                <w:szCs w:val="24"/>
                <w:lang w:eastAsia="pt-BR"/>
              </w:rPr>
              <w:t>F</w:t>
            </w:r>
          </w:p>
        </w:tc>
        <w:tc>
          <w:tcPr>
            <w:tcW w:w="1093" w:type="dxa"/>
            <w:tcBorders>
              <w:left w:val="nil"/>
              <w:right w:val="nil"/>
              <w:insideV w:val="nil"/>
            </w:tcBorders>
            <w:shd w:fill="auto" w:val="clear"/>
            <w:vAlign w:val="center"/>
          </w:tcPr>
          <w:p>
            <w:pPr>
              <w:pStyle w:val="Corpodetexto"/>
              <w:spacing w:lineRule="auto" w:line="360" w:before="0" w:after="0"/>
              <w:jc w:val="both"/>
              <w:rPr>
                <w:color w:val="121412"/>
                <w:szCs w:val="24"/>
              </w:rPr>
            </w:pPr>
            <w:r>
              <w:rPr>
                <w:rFonts w:eastAsia="SimSun" w:cs="Times New Roman" w:ascii="Times New Roman" w:hAnsi="Times New Roman"/>
                <w:color w:val="121412"/>
                <w:sz w:val="20"/>
                <w:szCs w:val="24"/>
                <w:lang w:eastAsia="pt-BR"/>
              </w:rPr>
              <w:t>Basicidade</w:t>
            </w:r>
          </w:p>
        </w:tc>
      </w:tr>
      <w:tr>
        <w:trPr>
          <w:trHeight w:val="284" w:hRule="atLeast"/>
        </w:trPr>
        <w:tc>
          <w:tcPr>
            <w:tcW w:w="1132" w:type="dxa"/>
            <w:tcBorders>
              <w:left w:val="nil"/>
              <w:bottom w:val="nil"/>
              <w:right w:val="nil"/>
              <w:insideH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B</w:t>
            </w:r>
          </w:p>
        </w:tc>
        <w:tc>
          <w:tcPr>
            <w:tcW w:w="593" w:type="dxa"/>
            <w:tcBorders>
              <w:left w:val="nil"/>
              <w:bottom w:val="nil"/>
              <w:right w:val="nil"/>
              <w:insideH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41,1</w:t>
            </w:r>
          </w:p>
        </w:tc>
        <w:tc>
          <w:tcPr>
            <w:tcW w:w="583" w:type="dxa"/>
            <w:tcBorders>
              <w:left w:val="nil"/>
              <w:bottom w:val="nil"/>
              <w:right w:val="nil"/>
              <w:insideH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38,5</w:t>
            </w:r>
          </w:p>
        </w:tc>
        <w:tc>
          <w:tcPr>
            <w:tcW w:w="639" w:type="dxa"/>
            <w:tcBorders>
              <w:left w:val="nil"/>
              <w:bottom w:val="nil"/>
              <w:right w:val="nil"/>
              <w:insideH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0,8</w:t>
            </w:r>
          </w:p>
        </w:tc>
        <w:tc>
          <w:tcPr>
            <w:tcW w:w="691" w:type="dxa"/>
            <w:tcBorders>
              <w:left w:val="nil"/>
              <w:bottom w:val="nil"/>
              <w:right w:val="nil"/>
              <w:insideH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5</w:t>
            </w:r>
          </w:p>
        </w:tc>
        <w:tc>
          <w:tcPr>
            <w:tcW w:w="660" w:type="dxa"/>
            <w:tcBorders>
              <w:left w:val="nil"/>
              <w:bottom w:val="nil"/>
              <w:right w:val="nil"/>
              <w:insideH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7,3</w:t>
            </w:r>
          </w:p>
        </w:tc>
        <w:tc>
          <w:tcPr>
            <w:tcW w:w="466" w:type="dxa"/>
            <w:tcBorders>
              <w:left w:val="nil"/>
              <w:bottom w:val="nil"/>
              <w:right w:val="nil"/>
              <w:insideH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7</w:t>
            </w:r>
          </w:p>
        </w:tc>
        <w:tc>
          <w:tcPr>
            <w:tcW w:w="1093" w:type="dxa"/>
            <w:tcBorders>
              <w:left w:val="nil"/>
              <w:bottom w:val="nil"/>
              <w:right w:val="nil"/>
              <w:insideH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0,94</w:t>
            </w:r>
          </w:p>
        </w:tc>
      </w:tr>
      <w:tr>
        <w:trPr>
          <w:trHeight w:val="284" w:hRule="atLeast"/>
        </w:trPr>
        <w:tc>
          <w:tcPr>
            <w:tcW w:w="1132" w:type="dxa"/>
            <w:tcBorders>
              <w:top w:val="nil"/>
              <w:left w:val="nil"/>
              <w:right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D</w:t>
            </w:r>
          </w:p>
        </w:tc>
        <w:tc>
          <w:tcPr>
            <w:tcW w:w="593" w:type="dxa"/>
            <w:tcBorders>
              <w:top w:val="nil"/>
              <w:left w:val="nil"/>
              <w:right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33,4</w:t>
            </w:r>
          </w:p>
        </w:tc>
        <w:tc>
          <w:tcPr>
            <w:tcW w:w="583" w:type="dxa"/>
            <w:tcBorders>
              <w:top w:val="nil"/>
              <w:left w:val="nil"/>
              <w:right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44,8</w:t>
            </w:r>
          </w:p>
        </w:tc>
        <w:tc>
          <w:tcPr>
            <w:tcW w:w="639" w:type="dxa"/>
            <w:tcBorders>
              <w:top w:val="nil"/>
              <w:left w:val="nil"/>
              <w:right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0,8</w:t>
            </w:r>
          </w:p>
        </w:tc>
        <w:tc>
          <w:tcPr>
            <w:tcW w:w="691" w:type="dxa"/>
            <w:tcBorders>
              <w:top w:val="nil"/>
              <w:left w:val="nil"/>
              <w:right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5,4</w:t>
            </w:r>
          </w:p>
        </w:tc>
        <w:tc>
          <w:tcPr>
            <w:tcW w:w="660" w:type="dxa"/>
            <w:tcBorders>
              <w:top w:val="nil"/>
              <w:left w:val="nil"/>
              <w:right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7,6</w:t>
            </w:r>
          </w:p>
        </w:tc>
        <w:tc>
          <w:tcPr>
            <w:tcW w:w="466" w:type="dxa"/>
            <w:tcBorders>
              <w:top w:val="nil"/>
              <w:left w:val="nil"/>
              <w:right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7,6</w:t>
            </w:r>
          </w:p>
        </w:tc>
        <w:tc>
          <w:tcPr>
            <w:tcW w:w="1093" w:type="dxa"/>
            <w:tcBorders>
              <w:top w:val="nil"/>
              <w:left w:val="nil"/>
              <w:right w:val="nil"/>
              <w:insideV w:val="nil"/>
            </w:tcBorders>
            <w:shd w:fill="auto" w:val="clear"/>
            <w:vAlign w:val="center"/>
          </w:tcPr>
          <w:p>
            <w:pPr>
              <w:pStyle w:val="Corpodetexto"/>
              <w:spacing w:lineRule="auto" w:line="360" w:before="0" w:after="0"/>
              <w:jc w:val="center"/>
              <w:rPr>
                <w:color w:val="121412"/>
                <w:szCs w:val="24"/>
              </w:rPr>
            </w:pPr>
            <w:r>
              <w:rPr>
                <w:rFonts w:eastAsia="SimSun" w:cs="Times New Roman" w:ascii="Times New Roman" w:hAnsi="Times New Roman"/>
                <w:color w:val="121412"/>
                <w:sz w:val="20"/>
                <w:szCs w:val="24"/>
                <w:lang w:eastAsia="pt-BR"/>
              </w:rPr>
              <w:t>1,34</w:t>
            </w:r>
          </w:p>
        </w:tc>
      </w:tr>
    </w:tbl>
    <w:p>
      <w:pPr>
        <w:pStyle w:val="Corpodetexto"/>
        <w:spacing w:lineRule="auto" w:line="360" w:before="0" w:after="0"/>
        <w:jc w:val="center"/>
        <w:rPr>
          <w:rFonts w:ascii="Times New Roman" w:hAnsi="Times New Roman" w:cs="Times New Roman"/>
          <w:w w:val="105"/>
          <w:sz w:val="20"/>
          <w:szCs w:val="20"/>
        </w:rPr>
      </w:pPr>
      <w:r>
        <w:rPr>
          <w:rFonts w:cs="Times New Roman" w:ascii="Times New Roman" w:hAnsi="Times New Roman"/>
          <w:w w:val="105"/>
          <w:sz w:val="20"/>
          <w:szCs w:val="20"/>
        </w:rPr>
        <w:t>Fonte: MYUNG-DUK</w:t>
      </w:r>
      <w:r>
        <w:rPr>
          <w:rFonts w:cs="Times New Roman" w:ascii="Times New Roman" w:hAnsi="Times New Roman"/>
          <w:spacing w:val="-9"/>
          <w:w w:val="105"/>
          <w:sz w:val="20"/>
          <w:szCs w:val="20"/>
        </w:rPr>
        <w:t xml:space="preserve"> </w:t>
      </w:r>
      <w:r>
        <w:rPr>
          <w:rFonts w:cs="Times New Roman" w:ascii="Times New Roman" w:hAnsi="Times New Roman"/>
          <w:w w:val="105"/>
          <w:sz w:val="20"/>
          <w:szCs w:val="20"/>
        </w:rPr>
        <w:t>SEO et. al. (2015).</w:t>
      </w:r>
    </w:p>
    <w:p>
      <w:pPr>
        <w:pStyle w:val="Corpodetexto"/>
        <w:spacing w:lineRule="auto" w:line="360" w:before="0" w:after="0"/>
        <w:jc w:val="center"/>
        <w:rPr>
          <w:rFonts w:ascii="Times New Roman" w:hAnsi="Times New Roman" w:cs="Times New Roman"/>
          <w:color w:val="121412"/>
          <w:sz w:val="24"/>
          <w:szCs w:val="24"/>
        </w:rPr>
      </w:pPr>
      <w:r>
        <w:rPr>
          <w:rFonts w:cs="Times New Roman" w:ascii="Times New Roman" w:hAnsi="Times New Roman"/>
          <w:color w:val="121412"/>
          <w:sz w:val="24"/>
          <w:szCs w:val="24"/>
        </w:rPr>
      </w:r>
    </w:p>
    <w:p>
      <w:pPr>
        <w:pStyle w:val="Corpodetexto"/>
        <w:spacing w:lineRule="auto" w:line="360" w:before="0" w:after="0"/>
        <w:ind w:right="202" w:firstLine="1134"/>
        <w:jc w:val="both"/>
        <w:rPr>
          <w:rFonts w:ascii="Times New Roman" w:hAnsi="Times New Roman" w:cs="Times New Roman"/>
          <w:color w:val="FF0000"/>
          <w:sz w:val="24"/>
          <w:szCs w:val="24"/>
        </w:rPr>
      </w:pPr>
      <w:r>
        <w:rPr>
          <w:rFonts w:cs="Times New Roman" w:ascii="Times New Roman" w:hAnsi="Times New Roman"/>
          <w:color w:val="121412"/>
          <w:sz w:val="24"/>
          <w:szCs w:val="24"/>
        </w:rPr>
        <w:t xml:space="preserve">O pó fluxante A foi produzido utilizando os reagentes </w:t>
      </w:r>
      <w:r>
        <w:rPr>
          <w:rFonts w:cs="Times New Roman" w:ascii="Times New Roman" w:hAnsi="Times New Roman"/>
          <w:sz w:val="24"/>
          <w:szCs w:val="24"/>
        </w:rPr>
        <w:t>CaO, SiO</w:t>
      </w:r>
      <w:r>
        <w:rPr>
          <w:rFonts w:cs="Times New Roman" w:ascii="Times New Roman" w:hAnsi="Times New Roman"/>
          <w:sz w:val="24"/>
          <w:szCs w:val="24"/>
          <w:vertAlign w:val="subscript"/>
        </w:rPr>
        <w:t>2</w:t>
      </w:r>
      <w:r>
        <w:rPr>
          <w:rFonts w:cs="Times New Roman" w:ascii="Times New Roman" w:hAnsi="Times New Roman"/>
          <w:sz w:val="24"/>
          <w:szCs w:val="24"/>
        </w:rPr>
        <w:t>, Al</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 xml:space="preserve"> </w:t>
      </w:r>
      <w:r>
        <w:rPr>
          <w:rFonts w:cs="Times New Roman" w:ascii="Times New Roman" w:hAnsi="Times New Roman"/>
          <w:sz w:val="24"/>
          <w:szCs w:val="24"/>
        </w:rPr>
        <w:t>Na</w:t>
      </w:r>
      <w:r>
        <w:rPr>
          <w:rFonts w:cs="Times New Roman" w:ascii="Times New Roman" w:hAnsi="Times New Roman"/>
          <w:sz w:val="24"/>
          <w:szCs w:val="24"/>
          <w:vertAlign w:val="subscript"/>
        </w:rPr>
        <w:t>2</w:t>
      </w:r>
      <w:r>
        <w:rPr>
          <w:rFonts w:cs="Times New Roman" w:ascii="Times New Roman" w:hAnsi="Times New Roman"/>
          <w:sz w:val="24"/>
          <w:szCs w:val="24"/>
        </w:rPr>
        <w:t>O, MgO, TiO</w:t>
      </w:r>
      <w:r>
        <w:rPr>
          <w:rFonts w:cs="Times New Roman" w:ascii="Times New Roman" w:hAnsi="Times New Roman"/>
          <w:sz w:val="24"/>
          <w:szCs w:val="24"/>
          <w:vertAlign w:val="subscript"/>
        </w:rPr>
        <w:t>2</w:t>
      </w:r>
      <w:r>
        <w:rPr>
          <w:rFonts w:cs="Times New Roman" w:ascii="Times New Roman" w:hAnsi="Times New Roman"/>
          <w:sz w:val="24"/>
          <w:szCs w:val="24"/>
        </w:rPr>
        <w:t>, Fe</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xml:space="preserve"> e Li</w:t>
      </w:r>
      <w:r>
        <w:rPr>
          <w:rFonts w:cs="Times New Roman" w:ascii="Times New Roman" w:hAnsi="Times New Roman"/>
          <w:sz w:val="24"/>
          <w:szCs w:val="24"/>
          <w:vertAlign w:val="subscript"/>
        </w:rPr>
        <w:t>2</w:t>
      </w:r>
      <w:r>
        <w:rPr>
          <w:rFonts w:cs="Times New Roman" w:ascii="Times New Roman" w:hAnsi="Times New Roman"/>
          <w:sz w:val="24"/>
          <w:szCs w:val="24"/>
        </w:rPr>
        <w:t>O. Esta amostra foi bem misturada e fundida em um cadinho de platina com um forno mufla a 1400 °C por 120 min para homogeneizar a composição química. Em seguida foi submerso em água, a temperatura ambiente, para resfriamento. Esse procedimento foi para que uma estrutura totalmente vítrea seja obtida. Em seguida, a amostra foi moída a 200 MESH (0,074mm).</w:t>
      </w:r>
    </w:p>
    <w:p>
      <w:pPr>
        <w:pStyle w:val="Normal"/>
        <w:spacing w:lineRule="auto" w:line="360" w:before="0" w:after="0"/>
        <w:ind w:firstLine="1134"/>
        <w:jc w:val="both"/>
        <w:rPr>
          <w:rFonts w:ascii="Times New Roman" w:hAnsi="Times New Roman" w:cs="Times New Roman"/>
          <w:color w:val="121412"/>
          <w:sz w:val="24"/>
          <w:szCs w:val="24"/>
        </w:rPr>
      </w:pPr>
      <w:r>
        <w:rPr>
          <w:rFonts w:cs="Times New Roman" w:ascii="Times New Roman" w:hAnsi="Times New Roman"/>
          <w:sz w:val="24"/>
        </w:rPr>
        <w:t>As análises DSC foram realizadas no equipamento pertencente</w:t>
      </w:r>
      <w:r>
        <w:rPr>
          <w:rFonts w:cs="Times New Roman" w:ascii="Times New Roman" w:hAnsi="Times New Roman"/>
          <w:sz w:val="24"/>
          <w:szCs w:val="24"/>
        </w:rPr>
        <w:t xml:space="preserve"> ao Laboratório de Materiais Avançados do Departamento de Engenharia Metalúrgica e de Materiais da UFC (Universidade Federal do Ceará), conforme mostrado na figura 36. </w:t>
      </w:r>
    </w:p>
    <w:p>
      <w:pPr>
        <w:pStyle w:val="Normal"/>
        <w:spacing w:lineRule="auto" w:line="360" w:before="0" w:after="0"/>
        <w:ind w:left="2268"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2268" w:hanging="0"/>
        <w:jc w:val="both"/>
        <w:rPr>
          <w:rFonts w:ascii="Times New Roman" w:hAnsi="Times New Roman" w:cs="Times New Roman"/>
          <w:sz w:val="24"/>
          <w:szCs w:val="24"/>
        </w:rPr>
      </w:pPr>
      <w:r>
        <w:rPr>
          <w:rFonts w:cs="Times New Roman" w:ascii="Times New Roman" w:hAnsi="Times New Roman"/>
          <w:sz w:val="24"/>
          <w:szCs w:val="24"/>
        </w:rPr>
        <w:t>Figura 36 - Equipamento DSC da UFC.</w:t>
      </w:r>
      <w:bookmarkStart w:id="153" w:name="_Hlk156895273"/>
      <w:bookmarkEnd w:id="153"/>
    </w:p>
    <w:p>
      <w:pPr>
        <w:pStyle w:val="Normal"/>
        <w:spacing w:lineRule="auto" w:line="360" w:before="0" w:after="0"/>
        <w:jc w:val="center"/>
        <w:rPr>
          <w:rFonts w:ascii="Times New Roman" w:hAnsi="Times New Roman" w:cs="Times New Roman"/>
          <w:sz w:val="24"/>
          <w:szCs w:val="24"/>
        </w:rPr>
      </w:pPr>
      <w:r>
        <w:rPr/>
        <w:drawing>
          <wp:inline distT="0" distB="0" distL="0" distR="0">
            <wp:extent cx="2614930" cy="2364740"/>
            <wp:effectExtent l="0" t="0" r="0" b="0"/>
            <wp:docPr id="44"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16" descr=""/>
                    <pic:cNvPicPr>
                      <a:picLocks noChangeAspect="1" noChangeArrowheads="1"/>
                    </pic:cNvPicPr>
                  </pic:nvPicPr>
                  <pic:blipFill>
                    <a:blip r:embed="rId43"/>
                    <a:stretch>
                      <a:fillRect/>
                    </a:stretch>
                  </pic:blipFill>
                  <pic:spPr bwMode="auto">
                    <a:xfrm>
                      <a:off x="0" y="0"/>
                      <a:ext cx="2614930" cy="2364740"/>
                    </a:xfrm>
                    <a:prstGeom prst="rect">
                      <a:avLst/>
                    </a:prstGeom>
                  </pic:spPr>
                </pic:pic>
              </a:graphicData>
            </a:graphic>
          </wp:inline>
        </w:drawing>
      </w:r>
    </w:p>
    <w:p>
      <w:pPr>
        <w:pStyle w:val="Normal"/>
        <w:spacing w:lineRule="auto" w:line="360" w:before="0" w:after="0"/>
        <w:ind w:left="2268" w:hanging="0"/>
        <w:jc w:val="both"/>
        <w:rPr>
          <w:rFonts w:ascii="Times New Roman" w:hAnsi="Times New Roman" w:cs="Times New Roman"/>
          <w:sz w:val="20"/>
          <w:szCs w:val="24"/>
        </w:rPr>
      </w:pPr>
      <w:r>
        <w:rPr>
          <w:rFonts w:cs="Times New Roman" w:ascii="Times New Roman" w:hAnsi="Times New Roman"/>
          <w:sz w:val="20"/>
          <w:szCs w:val="24"/>
        </w:rPr>
        <w:t>Fonte: elaborado pelo autor.</w:t>
      </w:r>
    </w:p>
    <w:p>
      <w:pPr>
        <w:pStyle w:val="Normal"/>
        <w:spacing w:lineRule="auto" w:line="360" w:before="0" w:after="0"/>
        <w:ind w:firstLine="1134"/>
        <w:jc w:val="both"/>
        <w:rPr>
          <w:rFonts w:ascii="Times New Roman" w:hAnsi="Times New Roman" w:cs="Times New Roman"/>
          <w:w w:val="105"/>
          <w:sz w:val="24"/>
          <w:szCs w:val="24"/>
        </w:rPr>
      </w:pPr>
      <w:r>
        <w:rPr>
          <w:rFonts w:cs="Times New Roman" w:ascii="Times New Roman" w:hAnsi="Times New Roman"/>
          <w:sz w:val="24"/>
          <w:szCs w:val="24"/>
        </w:rPr>
        <w:t xml:space="preserve">O aparelho DSC/TG modelo STA 449 F3 Júpiter do fabricante alemão NETZSCH, </w:t>
      </w:r>
      <w:r>
        <w:rPr>
          <w:rFonts w:cs="Times New Roman" w:ascii="Times New Roman" w:hAnsi="Times New Roman"/>
          <w:sz w:val="24"/>
        </w:rPr>
        <w:t>com argônio atuando como gás de purga em condições dinâmicas foi calibrado utilizando alfa-Al</w:t>
      </w:r>
      <w:r>
        <w:rPr>
          <w:rFonts w:cs="Times New Roman" w:ascii="Times New Roman" w:hAnsi="Times New Roman"/>
          <w:sz w:val="24"/>
          <w:vertAlign w:val="subscript"/>
        </w:rPr>
        <w:t>2</w:t>
      </w:r>
      <w:r>
        <w:rPr>
          <w:rFonts w:cs="Times New Roman" w:ascii="Times New Roman" w:hAnsi="Times New Roman"/>
          <w:sz w:val="24"/>
        </w:rPr>
        <w:t>O</w:t>
      </w:r>
      <w:r>
        <w:rPr>
          <w:rFonts w:cs="Times New Roman" w:ascii="Times New Roman" w:hAnsi="Times New Roman"/>
          <w:sz w:val="24"/>
          <w:vertAlign w:val="subscript"/>
        </w:rPr>
        <w:t xml:space="preserve">3 </w:t>
      </w:r>
      <w:r>
        <w:rPr>
          <w:rFonts w:cs="Times New Roman" w:ascii="Times New Roman" w:hAnsi="Times New Roman"/>
          <w:sz w:val="24"/>
        </w:rPr>
        <w:t>como material de referência, construindo uma curva de calibração de temperatura e uma curva de calibração de sensibilidade com substâncias puras. Cadinhos de platina com tampas de platina foram utilizados para minimizar a perda de substâncias voláteis. Uma nova linha de base foi gerada para cada taxa de resfriamento usando um cadinho de platina vazio.</w:t>
      </w:r>
    </w:p>
    <w:p>
      <w:pPr>
        <w:pStyle w:val="Normal"/>
        <w:spacing w:lineRule="auto" w:line="360" w:before="0" w:after="0"/>
        <w:ind w:firstLine="1134"/>
        <w:jc w:val="both"/>
        <w:rPr>
          <w:rFonts w:ascii="Times New Roman" w:hAnsi="Times New Roman" w:cs="Times New Roman"/>
          <w:color w:val="121412"/>
          <w:w w:val="105"/>
          <w:sz w:val="24"/>
          <w:szCs w:val="24"/>
        </w:rPr>
      </w:pPr>
      <w:r>
        <w:rPr>
          <w:rFonts w:cs="Times New Roman" w:ascii="Times New Roman" w:hAnsi="Times New Roman"/>
          <w:color w:val="121412"/>
          <w:w w:val="105"/>
          <w:sz w:val="24"/>
          <w:szCs w:val="24"/>
        </w:rPr>
        <w:t>Com base na teoria de Gabbott (2008), citada na referência bibliográfica,</w:t>
      </w:r>
      <w:r>
        <w:rPr>
          <w:rFonts w:cs="Times New Roman" w:ascii="Times New Roman" w:hAnsi="Times New Roman"/>
          <w:sz w:val="24"/>
          <w:szCs w:val="24"/>
        </w:rPr>
        <w:t xml:space="preserve"> de que a taxa de liberação de calor é proporcional à taxa de cristalização, foram </w:t>
      </w:r>
      <w:r>
        <w:rPr>
          <w:rFonts w:cs="Times New Roman" w:ascii="Times New Roman" w:hAnsi="Times New Roman"/>
          <w:color w:val="121412"/>
          <w:w w:val="105"/>
          <w:sz w:val="24"/>
          <w:szCs w:val="24"/>
        </w:rPr>
        <w:t>realizadas análises DSC não isotérmicas do pó fluxante A para identificar a temperatura do primeiro pico de cristalização. As taxas de resfriamento foram: 10, 15, 20, 25 e 30°C/min.</w:t>
      </w:r>
    </w:p>
    <w:p>
      <w:pPr>
        <w:pStyle w:val="Normal"/>
        <w:spacing w:lineRule="auto" w:line="360" w:before="0" w:after="0"/>
        <w:ind w:right="61" w:firstLine="1134"/>
        <w:jc w:val="both"/>
        <w:rPr>
          <w:rFonts w:ascii="Times New Roman" w:hAnsi="Times New Roman" w:cs="Times New Roman"/>
          <w:color w:val="121412"/>
          <w:w w:val="105"/>
          <w:sz w:val="24"/>
          <w:szCs w:val="24"/>
        </w:rPr>
      </w:pPr>
      <w:r>
        <w:rPr>
          <w:rFonts w:cs="Times New Roman" w:ascii="Times New Roman" w:hAnsi="Times New Roman"/>
          <w:color w:val="121412"/>
          <w:w w:val="105"/>
          <w:sz w:val="24"/>
          <w:szCs w:val="24"/>
        </w:rPr>
        <w:t xml:space="preserve">Cada amostra, com </w:t>
      </w:r>
      <w:r>
        <w:rPr>
          <w:rFonts w:cs="Times New Roman" w:ascii="Times New Roman" w:hAnsi="Times New Roman"/>
          <w:color w:val="121412"/>
          <w:sz w:val="24"/>
          <w:szCs w:val="24"/>
        </w:rPr>
        <w:t xml:space="preserve">cerca de 50 mg </w:t>
      </w:r>
      <w:r>
        <w:rPr>
          <w:rFonts w:cs="Times New Roman" w:ascii="Times New Roman" w:hAnsi="Times New Roman"/>
          <w:color w:val="121412"/>
          <w:w w:val="105"/>
          <w:sz w:val="24"/>
          <w:szCs w:val="24"/>
        </w:rPr>
        <w:t xml:space="preserve">do pó fluxante A, foi aquecida a uma taxa de 20°C/min, da temperatura ambiente até 1400°C. Essa temperatura foi mantida, por 3 minutos, </w:t>
      </w:r>
      <w:r>
        <w:rPr>
          <w:rFonts w:cs="Times New Roman" w:ascii="Times New Roman" w:hAnsi="Times New Roman"/>
          <w:color w:val="121412"/>
          <w:sz w:val="24"/>
          <w:szCs w:val="24"/>
        </w:rPr>
        <w:t>para eliminar bolhas e homogeneizar sua composição química. Em seguida o pó fluxante líquido foi resfriado com as respectivas taxas</w:t>
      </w:r>
      <w:r>
        <w:rPr>
          <w:rFonts w:cs="Times New Roman" w:ascii="Times New Roman" w:hAnsi="Times New Roman"/>
          <w:color w:val="121412"/>
          <w:w w:val="105"/>
          <w:sz w:val="24"/>
          <w:szCs w:val="24"/>
        </w:rPr>
        <w:t>. Com os dados obtidos nas análises DSC, foi plotado o termograma com cada taxa de resfriamento, conforme ilustrados na figura 37.</w:t>
      </w:r>
    </w:p>
    <w:p>
      <w:pPr>
        <w:pStyle w:val="Normal"/>
        <w:spacing w:lineRule="auto" w:line="360" w:before="0" w:after="0"/>
        <w:ind w:firstLine="1134"/>
        <w:jc w:val="both"/>
        <w:rPr>
          <w:rFonts w:ascii="Times New Roman" w:hAnsi="Times New Roman" w:cs="Times New Roman"/>
          <w:color w:val="121412"/>
          <w:w w:val="105"/>
          <w:sz w:val="24"/>
          <w:szCs w:val="24"/>
        </w:rPr>
      </w:pPr>
      <w:r>
        <w:rPr>
          <w:rFonts w:cs="Times New Roman" w:ascii="Times New Roman" w:hAnsi="Times New Roman"/>
          <w:color w:val="121412"/>
          <w:w w:val="105"/>
          <w:sz w:val="24"/>
          <w:szCs w:val="24"/>
        </w:rPr>
      </w:r>
    </w:p>
    <w:p>
      <w:pPr>
        <w:pStyle w:val="Normal"/>
        <w:spacing w:lineRule="auto" w:line="360" w:before="0" w:after="0"/>
        <w:ind w:left="993" w:right="850" w:hanging="0"/>
        <w:jc w:val="both"/>
        <w:rPr>
          <w:rFonts w:ascii="Times New Roman" w:hAnsi="Times New Roman" w:cs="Times New Roman"/>
          <w:color w:val="121412"/>
          <w:w w:val="105"/>
          <w:sz w:val="24"/>
          <w:szCs w:val="24"/>
        </w:rPr>
      </w:pPr>
      <w:r>
        <w:rPr>
          <w:rFonts w:cs="Times New Roman" w:ascii="Times New Roman" w:hAnsi="Times New Roman"/>
          <w:color w:val="121412"/>
          <w:w w:val="105"/>
          <w:sz w:val="24"/>
          <w:szCs w:val="24"/>
        </w:rPr>
        <w:t>Figura 37 - Termograma DSC do pó fluxante A em diferentes taxas de resfriamento (mW/mg vs T).</w:t>
      </w:r>
      <w:bookmarkStart w:id="154" w:name="_Hlk156895292"/>
      <w:bookmarkEnd w:id="154"/>
    </w:p>
    <w:p>
      <w:pPr>
        <w:pStyle w:val="Normal"/>
        <w:spacing w:lineRule="auto" w:line="360" w:before="0" w:after="0"/>
        <w:jc w:val="center"/>
        <w:rPr>
          <w:rFonts w:ascii="Times New Roman" w:hAnsi="Times New Roman" w:cs="Times New Roman"/>
          <w:color w:val="121412"/>
          <w:w w:val="105"/>
          <w:sz w:val="24"/>
          <w:szCs w:val="24"/>
        </w:rPr>
      </w:pPr>
      <w:r>
        <w:rPr/>
        <w:drawing>
          <wp:inline distT="0" distB="6350" distL="0" distR="0">
            <wp:extent cx="4210050" cy="2813050"/>
            <wp:effectExtent l="0" t="0" r="0" b="0"/>
            <wp:docPr id="45"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7" descr=""/>
                    <pic:cNvPicPr>
                      <a:picLocks noChangeAspect="1" noChangeArrowheads="1"/>
                    </pic:cNvPicPr>
                  </pic:nvPicPr>
                  <pic:blipFill>
                    <a:blip r:embed="rId44"/>
                    <a:stretch>
                      <a:fillRect/>
                    </a:stretch>
                  </pic:blipFill>
                  <pic:spPr bwMode="auto">
                    <a:xfrm>
                      <a:off x="0" y="0"/>
                      <a:ext cx="4210050" cy="2813050"/>
                    </a:xfrm>
                    <a:prstGeom prst="rect">
                      <a:avLst/>
                    </a:prstGeom>
                  </pic:spPr>
                </pic:pic>
              </a:graphicData>
            </a:graphic>
          </wp:inline>
        </w:drawing>
      </w:r>
    </w:p>
    <w:p>
      <w:pPr>
        <w:pStyle w:val="Normal"/>
        <w:spacing w:lineRule="auto" w:line="360" w:before="0" w:after="0"/>
        <w:ind w:left="993" w:hanging="0"/>
        <w:jc w:val="both"/>
        <w:rPr>
          <w:rFonts w:ascii="Times New Roman" w:hAnsi="Times New Roman" w:cs="Times New Roman"/>
          <w:color w:val="121412"/>
          <w:w w:val="105"/>
          <w:sz w:val="20"/>
          <w:szCs w:val="24"/>
        </w:rPr>
      </w:pPr>
      <w:r>
        <w:rPr>
          <w:rFonts w:cs="Times New Roman" w:ascii="Times New Roman" w:hAnsi="Times New Roman"/>
          <w:color w:val="121412"/>
          <w:w w:val="105"/>
          <w:sz w:val="20"/>
          <w:szCs w:val="24"/>
        </w:rPr>
        <w:t>Fonte: elaborado pelo autor.</w:t>
      </w:r>
    </w:p>
    <w:p>
      <w:pPr>
        <w:pStyle w:val="Normal"/>
        <w:spacing w:lineRule="auto" w:line="360" w:before="0" w:after="0"/>
        <w:ind w:firstLine="1134"/>
        <w:jc w:val="both"/>
        <w:rPr>
          <w:rFonts w:ascii="Times New Roman" w:hAnsi="Times New Roman" w:cs="Times New Roman"/>
          <w:color w:val="121412"/>
          <w:w w:val="105"/>
          <w:sz w:val="24"/>
          <w:szCs w:val="24"/>
        </w:rPr>
      </w:pPr>
      <w:r>
        <w:rPr>
          <w:rFonts w:cs="Times New Roman" w:ascii="Times New Roman" w:hAnsi="Times New Roman"/>
          <w:color w:val="121412"/>
          <w:w w:val="105"/>
          <w:sz w:val="24"/>
          <w:szCs w:val="24"/>
        </w:rPr>
      </w:r>
    </w:p>
    <w:p>
      <w:pPr>
        <w:pStyle w:val="Normal"/>
        <w:spacing w:lineRule="auto" w:line="360" w:before="0" w:after="0"/>
        <w:ind w:firstLine="1134"/>
        <w:jc w:val="both"/>
        <w:rPr>
          <w:rFonts w:ascii="Times New Roman" w:hAnsi="Times New Roman" w:cs="Times New Roman"/>
          <w:w w:val="105"/>
          <w:sz w:val="24"/>
          <w:szCs w:val="24"/>
          <w:lang w:val="en-US"/>
        </w:rPr>
      </w:pPr>
      <w:r>
        <w:rPr>
          <w:rFonts w:cs="Times New Roman" w:ascii="Times New Roman" w:hAnsi="Times New Roman"/>
          <w:w w:val="105"/>
          <w:sz w:val="24"/>
          <w:szCs w:val="24"/>
        </w:rPr>
        <w:t>Percebe</w:t>
      </w:r>
      <w:r>
        <w:rPr>
          <w:rFonts w:cs="Times New Roman" w:ascii="Times New Roman" w:hAnsi="Times New Roman"/>
          <w:w w:val="105"/>
          <w:sz w:val="24"/>
          <w:szCs w:val="24"/>
          <w:lang w:val="en-US"/>
        </w:rPr>
        <w:t>-se o</w:t>
      </w:r>
      <w:r>
        <w:rPr>
          <w:rFonts w:cs="Times New Roman" w:ascii="Times New Roman" w:hAnsi="Times New Roman"/>
          <w:w w:val="105"/>
          <w:sz w:val="24"/>
          <w:szCs w:val="24"/>
        </w:rPr>
        <w:t xml:space="preserve"> aumento</w:t>
      </w:r>
      <w:r>
        <w:rPr>
          <w:rFonts w:cs="Times New Roman" w:ascii="Times New Roman" w:hAnsi="Times New Roman"/>
          <w:w w:val="105"/>
          <w:sz w:val="24"/>
          <w:szCs w:val="24"/>
          <w:lang w:val="en-US"/>
        </w:rPr>
        <w:t xml:space="preserve"> da</w:t>
      </w:r>
      <w:r>
        <w:rPr>
          <w:rFonts w:cs="Times New Roman" w:ascii="Times New Roman" w:hAnsi="Times New Roman"/>
          <w:w w:val="105"/>
          <w:sz w:val="24"/>
          <w:szCs w:val="24"/>
        </w:rPr>
        <w:t xml:space="preserve"> intensidade</w:t>
      </w:r>
      <w:r>
        <w:rPr>
          <w:rFonts w:cs="Times New Roman" w:ascii="Times New Roman" w:hAnsi="Times New Roman"/>
          <w:w w:val="105"/>
          <w:sz w:val="24"/>
          <w:szCs w:val="24"/>
          <w:lang w:val="en-US"/>
        </w:rPr>
        <w:t xml:space="preserve"> e</w:t>
      </w:r>
      <w:r>
        <w:rPr>
          <w:rFonts w:cs="Times New Roman" w:ascii="Times New Roman" w:hAnsi="Times New Roman"/>
          <w:w w:val="105"/>
          <w:sz w:val="24"/>
          <w:szCs w:val="24"/>
        </w:rPr>
        <w:t xml:space="preserve"> deslocamento</w:t>
      </w:r>
      <w:r>
        <w:rPr>
          <w:rFonts w:cs="Times New Roman" w:ascii="Times New Roman" w:hAnsi="Times New Roman"/>
          <w:w w:val="105"/>
          <w:sz w:val="24"/>
          <w:szCs w:val="24"/>
          <w:lang w:val="en-US"/>
        </w:rPr>
        <w:t xml:space="preserve"> para a</w:t>
      </w:r>
      <w:r>
        <w:rPr>
          <w:rFonts w:cs="Times New Roman" w:ascii="Times New Roman" w:hAnsi="Times New Roman"/>
          <w:w w:val="105"/>
          <w:sz w:val="24"/>
          <w:szCs w:val="24"/>
        </w:rPr>
        <w:t xml:space="preserve"> direita,</w:t>
      </w:r>
      <w:r>
        <w:rPr>
          <w:rFonts w:cs="Times New Roman" w:ascii="Times New Roman" w:hAnsi="Times New Roman"/>
          <w:w w:val="105"/>
          <w:sz w:val="24"/>
          <w:szCs w:val="24"/>
          <w:lang w:val="en-US"/>
        </w:rPr>
        <w:t xml:space="preserve"> dos</w:t>
      </w:r>
      <w:r>
        <w:rPr>
          <w:rFonts w:cs="Times New Roman" w:ascii="Times New Roman" w:hAnsi="Times New Roman"/>
          <w:w w:val="105"/>
          <w:sz w:val="24"/>
          <w:szCs w:val="24"/>
        </w:rPr>
        <w:t xml:space="preserve"> primeiros picos exotérmicos,</w:t>
      </w:r>
      <w:r>
        <w:rPr>
          <w:rFonts w:cs="Times New Roman" w:ascii="Times New Roman" w:hAnsi="Times New Roman"/>
          <w:w w:val="105"/>
          <w:sz w:val="24"/>
          <w:szCs w:val="24"/>
          <w:lang w:val="en-US"/>
        </w:rPr>
        <w:t xml:space="preserve"> a</w:t>
      </w:r>
      <w:r>
        <w:rPr>
          <w:rFonts w:cs="Times New Roman" w:ascii="Times New Roman" w:hAnsi="Times New Roman"/>
          <w:w w:val="105"/>
          <w:sz w:val="24"/>
          <w:szCs w:val="24"/>
        </w:rPr>
        <w:t xml:space="preserve"> medida</w:t>
      </w:r>
      <w:r>
        <w:rPr>
          <w:rFonts w:cs="Times New Roman" w:ascii="Times New Roman" w:hAnsi="Times New Roman"/>
          <w:w w:val="105"/>
          <w:sz w:val="24"/>
          <w:szCs w:val="24"/>
          <w:lang w:val="en-US"/>
        </w:rPr>
        <w:t xml:space="preserve"> que</w:t>
      </w:r>
      <w:r>
        <w:rPr>
          <w:rFonts w:cs="Times New Roman" w:ascii="Times New Roman" w:hAnsi="Times New Roman"/>
          <w:w w:val="105"/>
          <w:sz w:val="24"/>
          <w:szCs w:val="24"/>
        </w:rPr>
        <w:t xml:space="preserve"> aumenta</w:t>
      </w:r>
      <w:r>
        <w:rPr>
          <w:rFonts w:cs="Times New Roman" w:ascii="Times New Roman" w:hAnsi="Times New Roman"/>
          <w:w w:val="105"/>
          <w:sz w:val="24"/>
          <w:szCs w:val="24"/>
          <w:lang w:val="en-US"/>
        </w:rPr>
        <w:t xml:space="preserve"> a taxa de</w:t>
      </w:r>
      <w:r>
        <w:rPr>
          <w:rFonts w:cs="Times New Roman" w:ascii="Times New Roman" w:hAnsi="Times New Roman"/>
          <w:w w:val="105"/>
          <w:sz w:val="24"/>
          <w:szCs w:val="24"/>
        </w:rPr>
        <w:t xml:space="preserve"> resfriamento</w:t>
      </w:r>
      <w:r>
        <w:rPr>
          <w:rFonts w:cs="Times New Roman" w:ascii="Times New Roman" w:hAnsi="Times New Roman"/>
          <w:w w:val="105"/>
          <w:sz w:val="24"/>
          <w:szCs w:val="24"/>
          <w:lang w:val="en-US"/>
        </w:rPr>
        <w:t>.</w:t>
      </w:r>
      <w:r>
        <w:rPr>
          <w:rFonts w:cs="Times New Roman" w:ascii="Times New Roman" w:hAnsi="Times New Roman"/>
          <w:w w:val="105"/>
          <w:sz w:val="24"/>
          <w:szCs w:val="24"/>
        </w:rPr>
        <w:t xml:space="preserve"> Então, foram escolhidas as temperaturas de 1020, 1030, 1040 e 1050°C com taxa de resfriamento de 40°C/min para as DSC isotermas. Com isso serão gerados picos mais intensos proporcionando melhor visualização e análise.</w:t>
      </w:r>
    </w:p>
    <w:p>
      <w:pPr>
        <w:pStyle w:val="Corpodetexto"/>
        <w:spacing w:lineRule="auto" w:line="360" w:before="0" w:after="0"/>
        <w:ind w:right="202" w:firstLine="1134"/>
        <w:jc w:val="both"/>
        <w:rPr>
          <w:rFonts w:ascii="Times New Roman" w:hAnsi="Times New Roman" w:cs="Times New Roman"/>
          <w:color w:val="000000"/>
          <w:sz w:val="24"/>
          <w:szCs w:val="24"/>
        </w:rPr>
      </w:pPr>
      <w:r>
        <w:rPr>
          <w:rFonts w:cs="Times New Roman" w:ascii="Times New Roman" w:hAnsi="Times New Roman"/>
          <w:color w:val="121412"/>
          <w:sz w:val="24"/>
          <w:szCs w:val="24"/>
        </w:rPr>
        <w:t xml:space="preserve">Cada amostra foi aquecida individualmente com taxa constante de 20 °C/min da temperatura ambiente até 1400°C em um cadinho de platina. Então a amostra foi mantida na temperatura por 3 minutos para eliminar bolhas e homogeneizar sua composição química. Em seguida, o pó fluxante A, na fase líquida, foi resfriado a uma taxa de resfriamento constante de 40 °C/min </w:t>
      </w:r>
      <w:r>
        <w:rPr>
          <w:rFonts w:cs="Times New Roman" w:ascii="Times New Roman" w:hAnsi="Times New Roman"/>
          <w:sz w:val="24"/>
          <w:szCs w:val="24"/>
        </w:rPr>
        <w:t xml:space="preserve">em atmosfera de Argônio (50 ml/min) </w:t>
      </w:r>
      <w:r>
        <w:rPr>
          <w:rFonts w:cs="Times New Roman" w:ascii="Times New Roman" w:hAnsi="Times New Roman"/>
          <w:color w:val="121412"/>
          <w:sz w:val="24"/>
          <w:szCs w:val="24"/>
        </w:rPr>
        <w:t>até as respectivas isotermas e mantido em temperatura constante por 120 min c</w:t>
      </w:r>
      <w:r>
        <w:rPr>
          <w:rFonts w:cs="Times New Roman" w:ascii="Times New Roman" w:hAnsi="Times New Roman"/>
          <w:color w:val="000000"/>
          <w:sz w:val="24"/>
          <w:szCs w:val="24"/>
        </w:rPr>
        <w:t xml:space="preserve">onforme ilustra a figura 38. </w:t>
      </w:r>
    </w:p>
    <w:p>
      <w:pPr>
        <w:pStyle w:val="Normal"/>
        <w:spacing w:lineRule="auto" w:line="360" w:before="0" w:after="0"/>
        <w:ind w:firstLine="1134"/>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left" w:pos="2410" w:leader="none"/>
        </w:tabs>
        <w:spacing w:lineRule="auto" w:line="360" w:before="0" w:after="0"/>
        <w:ind w:left="1276" w:hanging="0"/>
        <w:jc w:val="both"/>
        <w:rPr>
          <w:rFonts w:ascii="Times New Roman" w:hAnsi="Times New Roman" w:cs="Times New Roman"/>
          <w:color w:val="000000"/>
          <w:sz w:val="24"/>
          <w:szCs w:val="24"/>
        </w:rPr>
      </w:pPr>
      <w:r>
        <w:rPr>
          <w:rFonts w:cs="Times New Roman" w:ascii="Times New Roman" w:hAnsi="Times New Roman"/>
          <w:sz w:val="24"/>
          <w:szCs w:val="24"/>
        </w:rPr>
        <w:t>Figura 38 - Perfil térmico</w:t>
      </w:r>
      <w:r>
        <w:rPr>
          <w:rFonts w:cs="Times New Roman" w:ascii="Times New Roman" w:hAnsi="Times New Roman"/>
          <w:spacing w:val="1"/>
          <w:sz w:val="24"/>
          <w:szCs w:val="24"/>
        </w:rPr>
        <w:t xml:space="preserve"> d</w:t>
      </w:r>
      <w:r>
        <w:rPr>
          <w:rFonts w:cs="Times New Roman" w:ascii="Times New Roman" w:hAnsi="Times New Roman"/>
          <w:sz w:val="24"/>
          <w:szCs w:val="24"/>
        </w:rPr>
        <w:t>as DSC</w:t>
      </w:r>
      <w:r>
        <w:rPr>
          <w:rFonts w:cs="Times New Roman" w:ascii="Times New Roman" w:hAnsi="Times New Roman"/>
          <w:spacing w:val="1"/>
          <w:sz w:val="24"/>
          <w:szCs w:val="24"/>
        </w:rPr>
        <w:t xml:space="preserve"> </w:t>
      </w:r>
      <w:r>
        <w:rPr>
          <w:rFonts w:cs="Times New Roman" w:ascii="Times New Roman" w:hAnsi="Times New Roman"/>
          <w:sz w:val="24"/>
          <w:szCs w:val="24"/>
        </w:rPr>
        <w:t>isotérmicas do pó fluxante A.</w:t>
      </w:r>
      <w:bookmarkStart w:id="155" w:name="_Hlk156895319"/>
      <w:bookmarkEnd w:id="155"/>
    </w:p>
    <w:p>
      <w:pPr>
        <w:pStyle w:val="Normal"/>
        <w:spacing w:lineRule="auto" w:line="360" w:before="0" w:after="0"/>
        <w:jc w:val="center"/>
        <w:rPr>
          <w:rFonts w:ascii="Times New Roman" w:hAnsi="Times New Roman" w:cs="Times New Roman"/>
          <w:color w:val="000000"/>
          <w:sz w:val="24"/>
          <w:szCs w:val="24"/>
        </w:rPr>
      </w:pPr>
      <w:r>
        <w:rPr/>
        <w:drawing>
          <wp:inline distT="0" distB="0" distL="0" distR="0">
            <wp:extent cx="3886835" cy="1943100"/>
            <wp:effectExtent l="0" t="0" r="0" b="0"/>
            <wp:docPr id="46"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6" descr=""/>
                    <pic:cNvPicPr>
                      <a:picLocks noChangeAspect="1" noChangeArrowheads="1"/>
                    </pic:cNvPicPr>
                  </pic:nvPicPr>
                  <pic:blipFill>
                    <a:blip r:embed="rId45"/>
                    <a:srcRect l="5201" t="25501" r="18701" b="6830"/>
                    <a:stretch>
                      <a:fillRect/>
                    </a:stretch>
                  </pic:blipFill>
                  <pic:spPr bwMode="auto">
                    <a:xfrm>
                      <a:off x="0" y="0"/>
                      <a:ext cx="3886835" cy="1943100"/>
                    </a:xfrm>
                    <a:prstGeom prst="rect">
                      <a:avLst/>
                    </a:prstGeom>
                  </pic:spPr>
                </pic:pic>
              </a:graphicData>
            </a:graphic>
          </wp:inline>
        </w:drawing>
      </w:r>
    </w:p>
    <w:p>
      <w:pPr>
        <w:pStyle w:val="Normal"/>
        <w:spacing w:lineRule="auto" w:line="360" w:before="0" w:after="0"/>
        <w:ind w:left="1276" w:hanging="0"/>
        <w:jc w:val="both"/>
        <w:rPr>
          <w:rFonts w:ascii="Times New Roman" w:hAnsi="Times New Roman" w:cs="Times New Roman"/>
          <w:color w:val="121412"/>
          <w:sz w:val="20"/>
          <w:szCs w:val="24"/>
        </w:rPr>
      </w:pPr>
      <w:r>
        <w:rPr>
          <w:rFonts w:cs="Times New Roman" w:ascii="Times New Roman" w:hAnsi="Times New Roman"/>
          <w:color w:val="121412"/>
          <w:sz w:val="20"/>
          <w:szCs w:val="24"/>
        </w:rPr>
        <w:t>Fonte: elaborado pelo autor.</w:t>
      </w:r>
    </w:p>
    <w:p>
      <w:pPr>
        <w:pStyle w:val="Normal"/>
        <w:spacing w:lineRule="auto" w:line="360" w:before="0" w:after="0"/>
        <w:ind w:left="1276" w:hanging="0"/>
        <w:jc w:val="both"/>
        <w:rPr>
          <w:rFonts w:ascii="Times New Roman" w:hAnsi="Times New Roman" w:cs="Times New Roman"/>
          <w:color w:val="121412"/>
          <w:sz w:val="20"/>
          <w:szCs w:val="24"/>
        </w:rPr>
      </w:pPr>
      <w:r>
        <w:rPr>
          <w:rFonts w:cs="Times New Roman" w:ascii="Times New Roman" w:hAnsi="Times New Roman"/>
          <w:color w:val="121412"/>
          <w:sz w:val="20"/>
          <w:szCs w:val="24"/>
        </w:rPr>
      </w:r>
    </w:p>
    <w:p>
      <w:pPr>
        <w:pStyle w:val="Corpodetexto"/>
        <w:spacing w:lineRule="auto" w:line="360" w:before="0" w:after="0"/>
        <w:ind w:right="202" w:firstLine="1134"/>
        <w:jc w:val="both"/>
        <w:rPr>
          <w:rFonts w:ascii="Times New Roman" w:hAnsi="Times New Roman" w:cs="Times New Roman"/>
          <w:color w:val="121412"/>
          <w:sz w:val="24"/>
          <w:szCs w:val="24"/>
        </w:rPr>
      </w:pPr>
      <w:r>
        <w:rPr>
          <w:rFonts w:cs="Times New Roman" w:ascii="Times New Roman" w:hAnsi="Times New Roman"/>
          <w:color w:val="121412"/>
          <w:sz w:val="24"/>
          <w:szCs w:val="24"/>
        </w:rPr>
        <w:t>O fluxo de calor liberado durante a cristalização foi registrado automaticamente em função do tempo.</w:t>
      </w:r>
    </w:p>
    <w:p>
      <w:pPr>
        <w:pStyle w:val="Corpodetexto"/>
        <w:spacing w:lineRule="auto" w:line="360" w:before="3" w:after="0"/>
        <w:ind w:firstLine="1134"/>
        <w:jc w:val="both"/>
        <w:rPr>
          <w:rFonts w:ascii="Times New Roman" w:hAnsi="Times New Roman" w:cs="Times New Roman"/>
          <w:w w:val="105"/>
          <w:sz w:val="24"/>
          <w:szCs w:val="24"/>
        </w:rPr>
      </w:pPr>
      <w:r>
        <w:rPr>
          <w:rFonts w:cs="Times New Roman" w:ascii="Times New Roman" w:hAnsi="Times New Roman"/>
          <w:color w:val="121412"/>
          <w:w w:val="105"/>
          <w:sz w:val="24"/>
          <w:szCs w:val="24"/>
        </w:rPr>
        <w:t>Os parâmetros cinéticos do pó fluxante A, calculados através da equação JMAK, conforme revisão bibliográfica, foram comparados aos paramentos cinéticos isotérmicos dos pós fluxantes B e D obtidos pela literatura.</w:t>
      </w:r>
    </w:p>
    <w:p>
      <w:pPr>
        <w:pStyle w:val="Normal"/>
        <w:spacing w:lineRule="auto" w:line="360" w:before="0" w:after="0"/>
        <w:ind w:firstLine="1134"/>
        <w:jc w:val="both"/>
        <w:rPr>
          <w:rFonts w:ascii="Times New Roman" w:hAnsi="Times New Roman" w:cs="Times New Roman"/>
          <w:color w:val="FF0000"/>
          <w:sz w:val="24"/>
          <w:szCs w:val="24"/>
        </w:rPr>
      </w:pPr>
      <w:r>
        <w:rPr>
          <w:rFonts w:cs="Times New Roman" w:ascii="Times New Roman" w:hAnsi="Times New Roman"/>
          <w:sz w:val="24"/>
          <w:szCs w:val="24"/>
        </w:rPr>
        <w:t>Por último, foi realizada a m</w:t>
      </w:r>
      <w:r>
        <w:rPr>
          <w:rStyle w:val="Nfase"/>
          <w:rFonts w:cs="Times New Roman" w:ascii="Times New Roman" w:hAnsi="Times New Roman"/>
          <w:bCs/>
          <w:i w:val="false"/>
          <w:iCs w:val="false"/>
          <w:sz w:val="24"/>
          <w:szCs w:val="24"/>
          <w:shd w:fill="FFFFFF" w:val="clear"/>
        </w:rPr>
        <w:t>icroscopia eletrônica de varredura (MEV), d</w:t>
      </w:r>
      <w:r>
        <w:rPr>
          <w:rFonts w:cs="Times New Roman" w:ascii="Times New Roman" w:hAnsi="Times New Roman"/>
          <w:sz w:val="24"/>
          <w:szCs w:val="24"/>
        </w:rPr>
        <w:t xml:space="preserve">o pó fluxante A </w:t>
      </w:r>
      <w:r>
        <w:rPr>
          <w:rStyle w:val="Nfase"/>
          <w:rFonts w:cs="Times New Roman" w:ascii="Times New Roman" w:hAnsi="Times New Roman"/>
          <w:bCs/>
          <w:i w:val="false"/>
          <w:sz w:val="24"/>
          <w:szCs w:val="24"/>
          <w:shd w:fill="FFFFFF" w:val="clear"/>
        </w:rPr>
        <w:t xml:space="preserve">e comparada com os parâmetros de JMAK para cristalização conforme o </w:t>
      </w:r>
      <w:r>
        <w:rPr>
          <w:rStyle w:val="Nfase"/>
          <w:rFonts w:cs="Times New Roman" w:ascii="Times New Roman" w:hAnsi="Times New Roman"/>
          <w:b/>
          <w:bCs/>
          <w:sz w:val="24"/>
          <w:szCs w:val="24"/>
          <w:shd w:fill="FFFFFF" w:val="clear"/>
        </w:rPr>
        <w:t>n</w:t>
      </w:r>
      <w:r>
        <w:rPr>
          <w:rStyle w:val="Nfase"/>
          <w:rFonts w:cs="Times New Roman" w:ascii="Times New Roman" w:hAnsi="Times New Roman"/>
          <w:bCs/>
          <w:i w:val="false"/>
          <w:sz w:val="24"/>
          <w:szCs w:val="24"/>
          <w:shd w:fill="FFFFFF" w:val="clear"/>
        </w:rPr>
        <w:t xml:space="preserve"> de Avrami calculado.</w:t>
      </w:r>
    </w:p>
    <w:p>
      <w:pPr>
        <w:pStyle w:val="Normal"/>
        <w:spacing w:lineRule="auto" w:line="360" w:before="0" w:after="0"/>
        <w:ind w:right="61" w:firstLine="1134"/>
        <w:jc w:val="both"/>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spacing w:lineRule="auto" w:line="360" w:before="0" w:after="0"/>
        <w:ind w:right="61" w:firstLine="1134"/>
        <w:jc w:val="both"/>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spacing w:lineRule="auto" w:line="360" w:before="0" w:after="0"/>
        <w:jc w:val="both"/>
        <w:rPr>
          <w:rFonts w:ascii="Times New Roman" w:hAnsi="Times New Roman" w:cs="Times New Roman"/>
          <w:b/>
          <w:b/>
          <w:sz w:val="24"/>
          <w:szCs w:val="24"/>
        </w:rPr>
      </w:pPr>
      <w:bookmarkStart w:id="156" w:name="_Hlk153809174"/>
      <w:bookmarkEnd w:id="156"/>
      <w:r>
        <w:rPr>
          <w:rFonts w:cs="Times New Roman" w:ascii="Times New Roman" w:hAnsi="Times New Roman"/>
          <w:b/>
          <w:sz w:val="24"/>
          <w:szCs w:val="24"/>
        </w:rPr>
        <w:t xml:space="preserve">5 RESULTADOS E DISCUSSÃO </w:t>
      </w:r>
    </w:p>
    <w:p>
      <w:pPr>
        <w:pStyle w:val="Corpodetexto"/>
        <w:spacing w:lineRule="auto" w:line="360" w:before="0" w:after="0"/>
        <w:ind w:right="202" w:firstLine="1134"/>
        <w:jc w:val="both"/>
        <w:rPr>
          <w:rFonts w:ascii="Times New Roman" w:hAnsi="Times New Roman" w:cs="Times New Roman"/>
          <w:sz w:val="24"/>
          <w:szCs w:val="24"/>
        </w:rPr>
      </w:pPr>
      <w:r>
        <w:rPr>
          <w:rFonts w:cs="Times New Roman" w:ascii="Times New Roman" w:hAnsi="Times New Roman"/>
          <w:sz w:val="24"/>
          <w:szCs w:val="24"/>
        </w:rPr>
      </w:r>
    </w:p>
    <w:p>
      <w:pPr>
        <w:pStyle w:val="Corpodetexto"/>
        <w:tabs>
          <w:tab w:val="left" w:pos="8222" w:leader="none"/>
        </w:tabs>
        <w:spacing w:lineRule="auto" w:line="360" w:before="0" w:after="0"/>
        <w:jc w:val="both"/>
        <w:rPr>
          <w:rFonts w:ascii="Times New Roman" w:hAnsi="Times New Roman" w:cs="Times New Roman"/>
          <w:b/>
          <w:b/>
          <w:color w:val="121412"/>
          <w:sz w:val="24"/>
          <w:szCs w:val="24"/>
        </w:rPr>
      </w:pPr>
      <w:r>
        <w:rPr>
          <w:rFonts w:cs="Times New Roman" w:ascii="Times New Roman" w:hAnsi="Times New Roman"/>
          <w:b/>
          <w:color w:val="121412"/>
          <w:sz w:val="24"/>
          <w:szCs w:val="24"/>
        </w:rPr>
        <w:t>5.1 Medição isotérmica</w:t>
      </w:r>
    </w:p>
    <w:p>
      <w:pPr>
        <w:pStyle w:val="Corpodetexto"/>
        <w:tabs>
          <w:tab w:val="left" w:pos="8222" w:leader="none"/>
        </w:tabs>
        <w:spacing w:lineRule="auto" w:line="360" w:before="0" w:after="0"/>
        <w:jc w:val="both"/>
        <w:rPr>
          <w:rFonts w:ascii="Times New Roman" w:hAnsi="Times New Roman" w:cs="Times New Roman"/>
          <w:color w:val="121412"/>
          <w:sz w:val="24"/>
          <w:szCs w:val="24"/>
        </w:rPr>
      </w:pPr>
      <w:r>
        <w:rPr>
          <w:rFonts w:cs="Times New Roman" w:ascii="Times New Roman" w:hAnsi="Times New Roman"/>
          <w:color w:val="121412"/>
          <w:sz w:val="24"/>
          <w:szCs w:val="24"/>
        </w:rPr>
      </w:r>
    </w:p>
    <w:p>
      <w:pPr>
        <w:pStyle w:val="Corpodetexto"/>
        <w:tabs>
          <w:tab w:val="left" w:pos="8222" w:leader="none"/>
        </w:tabs>
        <w:spacing w:lineRule="auto" w:line="360" w:before="0" w:after="0"/>
        <w:ind w:firstLine="1134"/>
        <w:jc w:val="both"/>
        <w:rPr>
          <w:rFonts w:ascii="Times New Roman" w:hAnsi="Times New Roman" w:cs="Times New Roman"/>
          <w:color w:val="121412"/>
          <w:sz w:val="24"/>
          <w:szCs w:val="24"/>
        </w:rPr>
      </w:pPr>
      <w:r>
        <w:rPr>
          <w:rFonts w:cs="Times New Roman" w:ascii="Times New Roman" w:hAnsi="Times New Roman"/>
          <w:color w:val="121412"/>
          <w:sz w:val="24"/>
          <w:szCs w:val="24"/>
        </w:rPr>
        <w:t>A figura 39 mostra os termogramas</w:t>
      </w:r>
      <w:r>
        <w:rPr>
          <w:rFonts w:cs="Times New Roman" w:ascii="Times New Roman" w:hAnsi="Times New Roman"/>
          <w:i/>
          <w:color w:val="121412"/>
          <w:sz w:val="24"/>
          <w:szCs w:val="24"/>
        </w:rPr>
        <w:t xml:space="preserve"> </w:t>
      </w:r>
      <w:r>
        <w:rPr>
          <w:rFonts w:cs="Times New Roman" w:ascii="Times New Roman" w:hAnsi="Times New Roman"/>
          <w:color w:val="121412"/>
          <w:sz w:val="24"/>
          <w:szCs w:val="24"/>
        </w:rPr>
        <w:t xml:space="preserve">das análises isotérmicas DSC dos pós fluxantes A, B e D que passaram por eventos térmicos. </w:t>
      </w:r>
    </w:p>
    <w:p>
      <w:pPr>
        <w:pStyle w:val="Corpodetexto"/>
        <w:spacing w:lineRule="auto" w:line="360" w:before="0" w:after="0"/>
        <w:ind w:right="202" w:hanging="0"/>
        <w:jc w:val="center"/>
        <w:rPr>
          <w:rFonts w:ascii="Times New Roman" w:hAnsi="Times New Roman" w:cs="Times New Roman"/>
          <w:color w:val="121412"/>
          <w:sz w:val="24"/>
          <w:szCs w:val="24"/>
        </w:rPr>
      </w:pPr>
      <w:r>
        <w:rPr>
          <w:rFonts w:cs="Times New Roman" w:ascii="Times New Roman" w:hAnsi="Times New Roman"/>
          <w:color w:val="121412"/>
          <w:sz w:val="24"/>
          <w:szCs w:val="24"/>
        </w:rPr>
      </w:r>
    </w:p>
    <w:p>
      <w:pPr>
        <w:pStyle w:val="Corpodetexto"/>
        <w:spacing w:lineRule="auto" w:line="360" w:before="0" w:after="0"/>
        <w:ind w:right="202" w:hanging="0"/>
        <w:jc w:val="center"/>
        <w:rPr>
          <w:rFonts w:ascii="Times New Roman" w:hAnsi="Times New Roman" w:cs="Times New Roman"/>
          <w:color w:val="121412"/>
          <w:sz w:val="24"/>
          <w:szCs w:val="24"/>
        </w:rPr>
      </w:pPr>
      <w:r>
        <w:rPr>
          <w:rFonts w:cs="Times New Roman" w:ascii="Times New Roman" w:hAnsi="Times New Roman"/>
          <w:color w:val="121412"/>
          <w:sz w:val="24"/>
          <w:szCs w:val="24"/>
        </w:rPr>
        <w:t>Figura 39 - Termogramas isotérmicos dos pós fluxantes A, B e D.</w:t>
      </w:r>
      <w:bookmarkStart w:id="157" w:name="_Hlk156895334"/>
      <w:bookmarkEnd w:id="157"/>
    </w:p>
    <w:p>
      <w:pPr>
        <w:pStyle w:val="Corpodetexto"/>
        <w:spacing w:lineRule="auto" w:line="360" w:before="0" w:after="0"/>
        <w:jc w:val="center"/>
        <w:rPr>
          <w:rFonts w:ascii="Times New Roman" w:hAnsi="Times New Roman" w:cs="Times New Roman"/>
          <w:color w:val="121412"/>
          <w:sz w:val="24"/>
          <w:szCs w:val="24"/>
        </w:rPr>
      </w:pPr>
      <w:r>
        <w:rPr/>
        <w:drawing>
          <wp:inline distT="0" distB="1270" distL="0" distR="0">
            <wp:extent cx="5438140" cy="1846580"/>
            <wp:effectExtent l="0" t="0" r="0" b="0"/>
            <wp:docPr id="47" name="Imagem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35" descr=""/>
                    <pic:cNvPicPr>
                      <a:picLocks noChangeAspect="1" noChangeArrowheads="1"/>
                    </pic:cNvPicPr>
                  </pic:nvPicPr>
                  <pic:blipFill>
                    <a:blip r:embed="rId46"/>
                    <a:srcRect l="6228" t="4635" r="8048" b="43592"/>
                    <a:stretch>
                      <a:fillRect/>
                    </a:stretch>
                  </pic:blipFill>
                  <pic:spPr bwMode="auto">
                    <a:xfrm>
                      <a:off x="0" y="0"/>
                      <a:ext cx="5438140" cy="1846580"/>
                    </a:xfrm>
                    <a:prstGeom prst="rect">
                      <a:avLst/>
                    </a:prstGeom>
                  </pic:spPr>
                </pic:pic>
              </a:graphicData>
            </a:graphic>
          </wp:inline>
        </w:drawing>
      </w:r>
    </w:p>
    <w:p>
      <w:pPr>
        <w:pStyle w:val="Corpodetexto"/>
        <w:spacing w:lineRule="auto" w:line="360" w:before="0" w:after="0"/>
        <w:jc w:val="center"/>
        <w:rPr>
          <w:rFonts w:ascii="Times New Roman" w:hAnsi="Times New Roman" w:cs="Times New Roman"/>
          <w:w w:val="105"/>
          <w:sz w:val="20"/>
          <w:szCs w:val="20"/>
        </w:rPr>
      </w:pPr>
      <w:r>
        <w:rPr>
          <w:rFonts w:cs="Times New Roman" w:ascii="Times New Roman" w:hAnsi="Times New Roman"/>
          <w:color w:val="121412"/>
          <w:sz w:val="20"/>
          <w:szCs w:val="20"/>
        </w:rPr>
        <w:t xml:space="preserve">Fonte: Fluxante A - AUTOR (2024); Fluxante B e D - </w:t>
      </w:r>
      <w:r>
        <w:rPr>
          <w:rFonts w:cs="Times New Roman" w:ascii="Times New Roman" w:hAnsi="Times New Roman"/>
          <w:w w:val="105"/>
          <w:sz w:val="20"/>
          <w:szCs w:val="20"/>
        </w:rPr>
        <w:t>MYUNG-DUK</w:t>
      </w:r>
      <w:r>
        <w:rPr>
          <w:rFonts w:cs="Times New Roman" w:ascii="Times New Roman" w:hAnsi="Times New Roman"/>
          <w:spacing w:val="-9"/>
          <w:w w:val="105"/>
          <w:sz w:val="20"/>
          <w:szCs w:val="20"/>
        </w:rPr>
        <w:t xml:space="preserve"> </w:t>
      </w:r>
      <w:r>
        <w:rPr>
          <w:rFonts w:cs="Times New Roman" w:ascii="Times New Roman" w:hAnsi="Times New Roman"/>
          <w:w w:val="105"/>
          <w:sz w:val="20"/>
          <w:szCs w:val="20"/>
        </w:rPr>
        <w:t>SEO et. al. (2015)</w:t>
      </w:r>
    </w:p>
    <w:p>
      <w:pPr>
        <w:pStyle w:val="Corpodetexto"/>
        <w:spacing w:lineRule="auto" w:line="360" w:before="0" w:after="0"/>
        <w:rPr>
          <w:rFonts w:ascii="Times New Roman" w:hAnsi="Times New Roman" w:cs="Times New Roman"/>
          <w:color w:val="121412"/>
          <w:sz w:val="24"/>
          <w:szCs w:val="24"/>
        </w:rPr>
      </w:pPr>
      <w:r>
        <w:rPr>
          <w:rFonts w:cs="Times New Roman" w:ascii="Times New Roman" w:hAnsi="Times New Roman"/>
          <w:color w:val="121412"/>
          <w:sz w:val="24"/>
          <w:szCs w:val="24"/>
        </w:rPr>
      </w:r>
    </w:p>
    <w:p>
      <w:pPr>
        <w:pStyle w:val="Corpodetexto"/>
        <w:spacing w:lineRule="auto" w:line="360" w:before="0" w:after="0"/>
        <w:ind w:firstLine="1134"/>
        <w:jc w:val="both"/>
        <w:rPr>
          <w:rFonts w:ascii="Times New Roman" w:hAnsi="Times New Roman" w:cs="Times New Roman"/>
          <w:color w:val="121412"/>
          <w:sz w:val="24"/>
          <w:szCs w:val="24"/>
        </w:rPr>
      </w:pPr>
      <w:r>
        <w:rPr>
          <w:rFonts w:cs="Times New Roman" w:ascii="Times New Roman" w:hAnsi="Times New Roman"/>
          <w:color w:val="121412"/>
          <w:sz w:val="24"/>
          <w:szCs w:val="24"/>
        </w:rPr>
        <w:t>Atenção na análise gráfica, pois a DSC do pó fluxante A informa os picos exotérmicos para baixo enquanto que dos pós fluxantes B e D os picos exotérmicos estão para cima devido a configuração dos equipamentos.</w:t>
      </w:r>
    </w:p>
    <w:p>
      <w:pPr>
        <w:pStyle w:val="Corpodetexto"/>
        <w:spacing w:lineRule="auto" w:line="360" w:before="0" w:after="0"/>
        <w:ind w:right="202" w:firstLine="1134"/>
        <w:jc w:val="both"/>
        <w:rPr>
          <w:rFonts w:ascii="Times New Roman" w:hAnsi="Times New Roman" w:cs="Times New Roman"/>
          <w:color w:val="121412"/>
          <w:sz w:val="24"/>
          <w:szCs w:val="24"/>
        </w:rPr>
      </w:pPr>
      <w:r>
        <w:rPr>
          <w:rFonts w:cs="Times New Roman" w:ascii="Times New Roman" w:hAnsi="Times New Roman"/>
          <w:sz w:val="24"/>
          <w:szCs w:val="24"/>
        </w:rPr>
        <w:t xml:space="preserve">Os </w:t>
      </w:r>
      <w:r>
        <w:rPr>
          <w:rFonts w:cs="Times New Roman" w:ascii="Times New Roman" w:hAnsi="Times New Roman"/>
          <w:color w:val="121412"/>
          <w:sz w:val="24"/>
          <w:szCs w:val="24"/>
        </w:rPr>
        <w:t xml:space="preserve">picos, no início do período isotérmico dos pós fluxantes, não se originaram da transformação de fases cristalinas. Eles surgem, devido a condição térmica instável durante a transição do resfriamento contínuo para a faixa isotérmica programada. </w:t>
      </w:r>
    </w:p>
    <w:p>
      <w:pPr>
        <w:pStyle w:val="Corpodetexto"/>
        <w:spacing w:lineRule="auto" w:line="360" w:before="0" w:after="0"/>
        <w:ind w:right="202" w:firstLine="1134"/>
        <w:jc w:val="both"/>
        <w:rPr>
          <w:rFonts w:ascii="Times New Roman" w:hAnsi="Times New Roman" w:cs="Times New Roman"/>
          <w:color w:val="121412"/>
          <w:sz w:val="24"/>
          <w:szCs w:val="24"/>
        </w:rPr>
      </w:pPr>
      <w:r>
        <w:rPr>
          <w:rFonts w:cs="Times New Roman" w:ascii="Times New Roman" w:hAnsi="Times New Roman"/>
          <w:color w:val="121412"/>
          <w:sz w:val="24"/>
          <w:szCs w:val="24"/>
        </w:rPr>
        <w:t xml:space="preserve">Os picos exotérmicos de cristalização, de todos os pós fluxantes, aconteceram em maiores intervalos de tempos e ficaram mais amplos à medida que a isotermas aumentam.  Isso indica que a taxa de cristalização se torna mais lenta com o aumento da temperatura. </w:t>
      </w:r>
    </w:p>
    <w:p>
      <w:pPr>
        <w:pStyle w:val="Corpodetexto"/>
        <w:spacing w:lineRule="auto" w:line="360" w:before="0" w:after="0"/>
        <w:ind w:right="202" w:firstLine="1134"/>
        <w:jc w:val="both"/>
        <w:rPr>
          <w:rFonts w:ascii="Times New Roman" w:hAnsi="Times New Roman" w:cs="Times New Roman"/>
          <w:color w:val="121412"/>
          <w:sz w:val="24"/>
          <w:szCs w:val="24"/>
        </w:rPr>
      </w:pPr>
      <w:r>
        <w:rPr>
          <w:rFonts w:cs="Times New Roman" w:ascii="Times New Roman" w:hAnsi="Times New Roman"/>
          <w:color w:val="121412"/>
          <w:sz w:val="24"/>
          <w:szCs w:val="24"/>
        </w:rPr>
        <w:t>A partir do termograma do pó fluxante A (Figura 39) foram geradas as curvas de cristalinidade relativa e posteriormente o diagrama de tempo, temperatura e transformação (TTT) ilustradas na figura 40.</w:t>
      </w:r>
    </w:p>
    <w:p>
      <w:pPr>
        <w:pStyle w:val="Normal"/>
        <w:spacing w:lineRule="auto" w:line="360" w:before="0" w:after="0"/>
        <w:ind w:left="709" w:right="425" w:hanging="0"/>
        <w:jc w:val="both"/>
        <w:rPr>
          <w:rFonts w:ascii="Times New Roman" w:hAnsi="Times New Roman" w:cs="Times New Roman"/>
          <w:color w:val="FF0000"/>
          <w:w w:val="105"/>
          <w:sz w:val="24"/>
          <w:szCs w:val="24"/>
        </w:rPr>
      </w:pPr>
      <w:r>
        <w:rPr>
          <w:rFonts w:cs="Times New Roman" w:ascii="Times New Roman" w:hAnsi="Times New Roman"/>
          <w:color w:val="FF0000"/>
          <w:w w:val="105"/>
          <w:sz w:val="24"/>
          <w:szCs w:val="24"/>
        </w:rPr>
      </w:r>
    </w:p>
    <w:p>
      <w:pPr>
        <w:pStyle w:val="Normal"/>
        <w:spacing w:lineRule="auto" w:line="360" w:before="0" w:after="0"/>
        <w:ind w:left="709" w:right="425" w:hanging="0"/>
        <w:jc w:val="both"/>
        <w:rPr>
          <w:rFonts w:ascii="Times New Roman" w:hAnsi="Times New Roman" w:cs="Times New Roman"/>
          <w:color w:val="FF0000"/>
          <w:w w:val="105"/>
          <w:sz w:val="24"/>
          <w:szCs w:val="24"/>
        </w:rPr>
      </w:pPr>
      <w:r>
        <w:rPr>
          <w:rFonts w:cs="Times New Roman" w:ascii="Times New Roman" w:hAnsi="Times New Roman"/>
          <w:color w:val="FF0000"/>
          <w:w w:val="105"/>
          <w:sz w:val="24"/>
          <w:szCs w:val="24"/>
        </w:rPr>
      </w:r>
    </w:p>
    <w:p>
      <w:pPr>
        <w:pStyle w:val="Normal"/>
        <w:spacing w:lineRule="auto" w:line="360" w:before="0" w:after="0"/>
        <w:ind w:left="709" w:right="425" w:hanging="0"/>
        <w:jc w:val="both"/>
        <w:rPr>
          <w:rFonts w:ascii="Times New Roman" w:hAnsi="Times New Roman" w:cs="Times New Roman"/>
          <w:color w:val="FF0000"/>
          <w:w w:val="105"/>
          <w:sz w:val="24"/>
          <w:szCs w:val="24"/>
        </w:rPr>
      </w:pPr>
      <w:r>
        <w:rPr>
          <w:rFonts w:cs="Times New Roman" w:ascii="Times New Roman" w:hAnsi="Times New Roman"/>
          <w:color w:val="FF0000"/>
          <w:w w:val="105"/>
          <w:sz w:val="24"/>
          <w:szCs w:val="24"/>
        </w:rPr>
      </w:r>
    </w:p>
    <w:p>
      <w:pPr>
        <w:pStyle w:val="Normal"/>
        <w:spacing w:lineRule="auto" w:line="360" w:before="0" w:after="0"/>
        <w:ind w:left="709" w:right="425" w:hanging="0"/>
        <w:jc w:val="both"/>
        <w:rPr>
          <w:rFonts w:ascii="Times New Roman" w:hAnsi="Times New Roman" w:cs="Times New Roman"/>
          <w:w w:val="105"/>
          <w:sz w:val="24"/>
          <w:szCs w:val="24"/>
        </w:rPr>
      </w:pPr>
      <w:r>
        <w:rPr>
          <w:rFonts w:cs="Times New Roman" w:ascii="Times New Roman" w:hAnsi="Times New Roman"/>
          <w:w w:val="105"/>
          <w:sz w:val="24"/>
          <w:szCs w:val="24"/>
        </w:rPr>
        <w:t>Figura 40 - Cristalinidade Relativa e TTT do pó fluxante A vs Tempo.</w:t>
      </w:r>
    </w:p>
    <w:p>
      <w:pPr>
        <w:pStyle w:val="Normal"/>
        <w:spacing w:lineRule="auto" w:line="360" w:before="0" w:after="0"/>
        <w:jc w:val="center"/>
        <w:rPr>
          <w:rFonts w:ascii="Times New Roman" w:hAnsi="Times New Roman" w:cs="Times New Roman"/>
          <w:color w:val="FF0000"/>
          <w:sz w:val="24"/>
          <w:szCs w:val="24"/>
        </w:rPr>
      </w:pPr>
      <w:r>
        <w:rPr/>
        <w:drawing>
          <wp:inline distT="0" distB="1905" distL="0" distR="5715">
            <wp:extent cx="4604385" cy="2970530"/>
            <wp:effectExtent l="0" t="0" r="0" b="0"/>
            <wp:docPr id="48" name="Imagem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32" descr=""/>
                    <pic:cNvPicPr>
                      <a:picLocks noChangeAspect="1" noChangeArrowheads="1"/>
                    </pic:cNvPicPr>
                  </pic:nvPicPr>
                  <pic:blipFill>
                    <a:blip r:embed="rId47"/>
                    <a:srcRect l="43367" t="26161" r="4000" b="9035"/>
                    <a:stretch>
                      <a:fillRect/>
                    </a:stretch>
                  </pic:blipFill>
                  <pic:spPr bwMode="auto">
                    <a:xfrm>
                      <a:off x="0" y="0"/>
                      <a:ext cx="4604385" cy="2970530"/>
                    </a:xfrm>
                    <a:prstGeom prst="rect">
                      <a:avLst/>
                    </a:prstGeom>
                  </pic:spPr>
                </pic:pic>
              </a:graphicData>
            </a:graphic>
          </wp:inline>
        </w:drawing>
      </w:r>
    </w:p>
    <w:p>
      <w:pPr>
        <w:pStyle w:val="Normal"/>
        <w:spacing w:lineRule="auto" w:line="360" w:before="0" w:after="0"/>
        <w:ind w:left="709" w:hanging="0"/>
        <w:jc w:val="both"/>
        <w:rPr>
          <w:rFonts w:ascii="Times New Roman" w:hAnsi="Times New Roman" w:cs="Times New Roman"/>
          <w:sz w:val="20"/>
          <w:szCs w:val="24"/>
        </w:rPr>
      </w:pPr>
      <w:r>
        <w:rPr>
          <w:rFonts w:cs="Times New Roman" w:ascii="Times New Roman" w:hAnsi="Times New Roman"/>
          <w:sz w:val="20"/>
          <w:szCs w:val="24"/>
        </w:rPr>
        <w:t>Fonte: elaborado pelo autor.</w:t>
      </w:r>
    </w:p>
    <w:p>
      <w:pPr>
        <w:pStyle w:val="Corpodetexto"/>
        <w:spacing w:lineRule="auto" w:line="360" w:before="0" w:after="0"/>
        <w:ind w:right="202" w:firstLine="1134"/>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360" w:before="0" w:after="0"/>
        <w:ind w:right="202" w:firstLine="1134"/>
        <w:jc w:val="both"/>
        <w:rPr>
          <w:rFonts w:ascii="Times New Roman" w:hAnsi="Times New Roman" w:cs="Times New Roman"/>
          <w:sz w:val="24"/>
          <w:szCs w:val="24"/>
        </w:rPr>
      </w:pPr>
      <w:r>
        <w:rPr>
          <w:rFonts w:cs="Times New Roman" w:ascii="Times New Roman" w:hAnsi="Times New Roman"/>
          <w:sz w:val="24"/>
          <w:szCs w:val="24"/>
        </w:rPr>
        <w:t>Percebe-se pelo diagrama TTT que quanto mais baixa a temperatura mais cedo ocorre o início da cristalização.</w:t>
      </w:r>
    </w:p>
    <w:p>
      <w:pPr>
        <w:pStyle w:val="Normal"/>
        <w:spacing w:lineRule="auto" w:line="360" w:before="0" w:after="0"/>
        <w:ind w:right="61" w:firstLine="1134"/>
        <w:jc w:val="both"/>
        <w:rPr>
          <w:rFonts w:ascii="Times New Roman" w:hAnsi="Times New Roman" w:cs="Times New Roman"/>
          <w:sz w:val="24"/>
          <w:szCs w:val="24"/>
        </w:rPr>
      </w:pPr>
      <w:r>
        <w:rPr>
          <w:rFonts w:cs="Times New Roman" w:ascii="Times New Roman" w:hAnsi="Times New Roman"/>
          <w:sz w:val="24"/>
          <w:szCs w:val="24"/>
        </w:rPr>
        <w:t>KLUG (2012), em sua tese de doutorado, utilizou os mesmos reagentes do pó fluxante A e constatou que a fase cristalizada corresponde à perovskita (CaO.TiO</w:t>
      </w:r>
      <w:r>
        <w:rPr>
          <w:rFonts w:cs="Times New Roman" w:ascii="Times New Roman" w:hAnsi="Times New Roman"/>
          <w:sz w:val="24"/>
          <w:szCs w:val="24"/>
          <w:vertAlign w:val="subscript"/>
        </w:rPr>
        <w:t>2</w:t>
      </w:r>
      <w:r>
        <w:rPr>
          <w:rFonts w:cs="Times New Roman" w:ascii="Times New Roman" w:hAnsi="Times New Roman"/>
          <w:sz w:val="24"/>
          <w:szCs w:val="24"/>
        </w:rPr>
        <w:t>).</w:t>
      </w:r>
    </w:p>
    <w:p>
      <w:pPr>
        <w:pStyle w:val="Normal"/>
        <w:spacing w:lineRule="auto" w:line="360" w:before="94" w:after="140"/>
        <w:ind w:right="61" w:firstLine="1134"/>
        <w:jc w:val="both"/>
        <w:rPr>
          <w:rFonts w:ascii="Times New Roman" w:hAnsi="Times New Roman" w:cs="Times New Roman"/>
          <w:color w:val="FF0000"/>
          <w:sz w:val="24"/>
          <w:szCs w:val="24"/>
        </w:rPr>
      </w:pPr>
      <w:r>
        <w:rPr>
          <w:rFonts w:cs="Times New Roman" w:ascii="Times New Roman" w:hAnsi="Times New Roman"/>
          <w:w w:val="105"/>
          <w:sz w:val="24"/>
          <w:szCs w:val="24"/>
        </w:rPr>
        <w:t xml:space="preserve">Nos pós fluxantes B e D, </w:t>
      </w:r>
      <w:bookmarkStart w:id="158" w:name="_Hlk156989039"/>
      <w:r>
        <w:rPr>
          <w:rFonts w:cs="Times New Roman" w:ascii="Times New Roman" w:hAnsi="Times New Roman"/>
          <w:w w:val="105"/>
          <w:sz w:val="24"/>
          <w:szCs w:val="24"/>
        </w:rPr>
        <w:t>Myung-Duk</w:t>
      </w:r>
      <w:r>
        <w:rPr>
          <w:rFonts w:cs="Times New Roman" w:ascii="Times New Roman" w:hAnsi="Times New Roman"/>
          <w:spacing w:val="-9"/>
          <w:w w:val="105"/>
          <w:sz w:val="24"/>
          <w:szCs w:val="24"/>
        </w:rPr>
        <w:t xml:space="preserve"> </w:t>
      </w:r>
      <w:r>
        <w:rPr>
          <w:rFonts w:cs="Times New Roman" w:ascii="Times New Roman" w:hAnsi="Times New Roman"/>
          <w:w w:val="105"/>
          <w:sz w:val="24"/>
          <w:szCs w:val="24"/>
        </w:rPr>
        <w:t>Seo et. al. (2015</w:t>
      </w:r>
      <w:bookmarkEnd w:id="158"/>
      <w:r>
        <w:rPr>
          <w:rFonts w:cs="Times New Roman" w:ascii="Times New Roman" w:hAnsi="Times New Roman"/>
          <w:w w:val="105"/>
          <w:sz w:val="24"/>
          <w:szCs w:val="24"/>
        </w:rPr>
        <w:t xml:space="preserve">) </w:t>
      </w:r>
      <w:r>
        <w:rPr>
          <w:rFonts w:cs="Times New Roman" w:ascii="Times New Roman" w:hAnsi="Times New Roman"/>
          <w:color w:val="121412"/>
          <w:sz w:val="24"/>
          <w:szCs w:val="24"/>
        </w:rPr>
        <w:t xml:space="preserve">confirmaram que a fase cristalina correspondente ao pico </w:t>
      </w:r>
      <w:r>
        <w:rPr>
          <w:rFonts w:cs="Times New Roman" w:ascii="Times New Roman" w:hAnsi="Times New Roman"/>
          <w:sz w:val="24"/>
          <w:szCs w:val="24"/>
        </w:rPr>
        <w:t>exotérmico nas curvas DSC representa a formação de cuspidina 3CaO-2SiO</w:t>
      </w:r>
      <w:r>
        <w:rPr>
          <w:rFonts w:cs="Times New Roman" w:ascii="Times New Roman" w:hAnsi="Times New Roman"/>
          <w:sz w:val="24"/>
          <w:szCs w:val="24"/>
          <w:vertAlign w:val="subscript"/>
        </w:rPr>
        <w:t>2</w:t>
      </w:r>
      <w:r>
        <w:rPr>
          <w:rFonts w:cs="Times New Roman" w:ascii="Times New Roman" w:hAnsi="Times New Roman"/>
          <w:sz w:val="24"/>
          <w:szCs w:val="24"/>
        </w:rPr>
        <w:t>-CaF</w:t>
      </w:r>
      <w:r>
        <w:rPr>
          <w:rFonts w:cs="Times New Roman" w:ascii="Times New Roman" w:hAnsi="Times New Roman"/>
          <w:sz w:val="24"/>
          <w:szCs w:val="24"/>
          <w:vertAlign w:val="subscript"/>
        </w:rPr>
        <w:t>2</w:t>
      </w:r>
      <w:r>
        <w:rPr>
          <w:rFonts w:cs="Times New Roman" w:ascii="Times New Roman" w:hAnsi="Times New Roman"/>
          <w:sz w:val="24"/>
          <w:szCs w:val="24"/>
        </w:rPr>
        <w:t>.</w:t>
      </w:r>
    </w:p>
    <w:p>
      <w:pPr>
        <w:pStyle w:val="Normal"/>
        <w:spacing w:lineRule="auto" w:line="360" w:before="94" w:after="140"/>
        <w:ind w:right="61" w:firstLine="1134"/>
        <w:jc w:val="both"/>
        <w:rPr>
          <w:rFonts w:ascii="Times New Roman" w:hAnsi="Times New Roman" w:cs="Times New Roman"/>
          <w:sz w:val="24"/>
          <w:szCs w:val="24"/>
        </w:rPr>
      </w:pPr>
      <w:r>
        <w:rPr>
          <w:rFonts w:cs="Times New Roman" w:ascii="Times New Roman" w:hAnsi="Times New Roman"/>
          <w:sz w:val="24"/>
          <w:szCs w:val="24"/>
        </w:rPr>
        <w:t xml:space="preserve">Isso prova que a cristalização é acompanhada por uma liberação de calor significativa (pico exotérmico), medida por análise DSC. </w:t>
      </w:r>
    </w:p>
    <w:p>
      <w:pPr>
        <w:pStyle w:val="Normal"/>
        <w:spacing w:lineRule="auto" w:line="360" w:before="0" w:after="0"/>
        <w:ind w:right="61" w:firstLine="1134"/>
        <w:jc w:val="both"/>
        <w:rPr>
          <w:rFonts w:ascii="Times New Roman" w:hAnsi="Times New Roman" w:cs="Times New Roman"/>
          <w:sz w:val="24"/>
          <w:szCs w:val="24"/>
        </w:rPr>
      </w:pPr>
      <w:r>
        <w:rPr>
          <w:rFonts w:cs="Times New Roman" w:ascii="Times New Roman" w:hAnsi="Times New Roman"/>
          <w:sz w:val="24"/>
          <w:szCs w:val="24"/>
        </w:rPr>
        <w:t xml:space="preserve">Com base no fato de que a taxa de liberação de calor é proporcional à taxa de cristalização, o grau relativo de cristalinidade </w:t>
      </w:r>
      <w:r>
        <w:rPr>
          <w:rFonts w:cs="Times New Roman" w:ascii="Times New Roman" w:hAnsi="Times New Roman"/>
          <w:b/>
          <w:i/>
          <w:sz w:val="24"/>
          <w:szCs w:val="24"/>
        </w:rPr>
        <w:t>X</w:t>
      </w:r>
      <w:r>
        <w:rPr>
          <w:rFonts w:cs="Times New Roman" w:ascii="Times New Roman" w:hAnsi="Times New Roman"/>
          <w:sz w:val="24"/>
          <w:szCs w:val="24"/>
        </w:rPr>
        <w:t>(t) pode ser obtido de acordo com a seguinte equação:</w:t>
      </w:r>
    </w:p>
    <w:p>
      <w:pPr>
        <w:pStyle w:val="Normal"/>
        <w:spacing w:lineRule="auto" w:line="360" w:before="0" w:after="0"/>
        <w:ind w:right="61" w:hanging="0"/>
        <w:jc w:val="both"/>
        <w:rPr>
          <w:rFonts w:ascii="Times New Roman" w:hAnsi="Times New Roman" w:eastAsia="" w:cs="Times New Roman" w:eastAsiaTheme="minorEastAsia"/>
          <w:sz w:val="24"/>
          <w:szCs w:val="24"/>
        </w:rPr>
      </w:pPr>
      <w:r>
        <w:rPr/>
      </w:r>
      <m:oMath xmlns:m="http://schemas.openxmlformats.org/officeDocument/2006/math">
        <m:r>
          <w:rPr>
            <w:rFonts w:ascii="Cambria Math" w:hAnsi="Cambria Math"/>
          </w:rPr>
          <m:t xml:space="preserve">X</m:t>
        </m:r>
        <m:d>
          <m:dPr>
            <m:begChr m:val="("/>
            <m:endChr m:val=")"/>
          </m:dPr>
          <m:e>
            <m:r>
              <w:rPr>
                <w:rFonts w:ascii="Cambria Math" w:hAnsi="Cambria Math"/>
              </w:rPr>
              <m:t xml:space="preserve">t</m:t>
            </m:r>
          </m:e>
        </m:d>
        <m:r>
          <w:rPr>
            <w:rFonts w:ascii="Cambria Math" w:hAnsi="Cambria Math"/>
          </w:rPr>
          <m:t xml:space="preserve">=</m:t>
        </m:r>
        <m:f>
          <m:num>
            <m:nary>
              <m:naryPr>
                <m:chr m:val="∫"/>
              </m:naryPr>
              <m:sub>
                <m:sSub>
                  <m:e>
                    <m:r>
                      <w:rPr>
                        <w:rFonts w:ascii="Cambria Math" w:hAnsi="Cambria Math"/>
                      </w:rPr>
                      <m:t xml:space="preserve">t</m:t>
                    </m:r>
                  </m:e>
                  <m:sub>
                    <m:r>
                      <w:rPr>
                        <w:rFonts w:ascii="Cambria Math" w:hAnsi="Cambria Math"/>
                      </w:rPr>
                      <m:t xml:space="preserve">0</m:t>
                    </m:r>
                  </m:sub>
                </m:sSub>
              </m:sub>
              <m:sup>
                <m:r>
                  <w:rPr>
                    <w:rFonts w:ascii="Cambria Math" w:hAnsi="Cambria Math"/>
                  </w:rPr>
                  <m:t xml:space="preserve">t</m:t>
                </m:r>
              </m:sup>
              <m:e>
                <m:d>
                  <m:dPr>
                    <m:begChr m:val="("/>
                    <m:endChr m:val=")"/>
                  </m:dPr>
                  <m:e>
                    <m:f>
                      <m:num>
                        <m:r>
                          <w:rPr>
                            <w:rFonts w:ascii="Cambria Math" w:hAnsi="Cambria Math"/>
                          </w:rPr>
                          <m:t xml:space="preserve">dH</m:t>
                        </m:r>
                      </m:num>
                      <m:den>
                        <m:r>
                          <w:rPr>
                            <w:rFonts w:ascii="Cambria Math" w:hAnsi="Cambria Math"/>
                          </w:rPr>
                          <m:t xml:space="preserve">dt</m:t>
                        </m:r>
                      </m:den>
                    </m:f>
                  </m:e>
                </m:d>
                <m:r>
                  <w:rPr>
                    <w:rFonts w:ascii="Cambria Math" w:hAnsi="Cambria Math"/>
                  </w:rPr>
                  <m:t xml:space="preserve">dt</m:t>
                </m:r>
              </m:e>
            </m:nary>
          </m:num>
          <m:den>
            <m:nary>
              <m:naryPr>
                <m:chr m:val="∫"/>
              </m:naryPr>
              <m:sub>
                <m:sSub>
                  <m:e>
                    <m:r>
                      <w:rPr>
                        <w:rFonts w:ascii="Cambria Math" w:hAnsi="Cambria Math"/>
                      </w:rPr>
                      <m:t xml:space="preserve">t</m:t>
                    </m:r>
                  </m:e>
                  <m:sub>
                    <m:r>
                      <w:rPr>
                        <w:rFonts w:ascii="Cambria Math" w:hAnsi="Cambria Math"/>
                      </w:rPr>
                      <m:t xml:space="preserve">0</m:t>
                    </m:r>
                  </m:sub>
                </m:sSub>
              </m:sub>
              <m:sup>
                <m:sSub>
                  <m:e>
                    <m:r>
                      <w:rPr>
                        <w:rFonts w:ascii="Cambria Math" w:hAnsi="Cambria Math"/>
                      </w:rPr>
                      <m:t xml:space="preserve">t</m:t>
                    </m:r>
                  </m:e>
                  <m:sub>
                    <m:r>
                      <w:rPr>
                        <w:rFonts w:ascii="Cambria Math" w:hAnsi="Cambria Math"/>
                      </w:rPr>
                      <m:t xml:space="preserve">∞</m:t>
                    </m:r>
                  </m:sub>
                </m:sSub>
              </m:sup>
              <m:e>
                <m:d>
                  <m:dPr>
                    <m:begChr m:val="("/>
                    <m:endChr m:val=")"/>
                  </m:dPr>
                  <m:e>
                    <m:f>
                      <m:num>
                        <m:r>
                          <w:rPr>
                            <w:rFonts w:ascii="Cambria Math" w:hAnsi="Cambria Math"/>
                          </w:rPr>
                          <m:t xml:space="preserve">dH</m:t>
                        </m:r>
                      </m:num>
                      <m:den>
                        <m:r>
                          <w:rPr>
                            <w:rFonts w:ascii="Cambria Math" w:hAnsi="Cambria Math"/>
                          </w:rPr>
                          <m:t xml:space="preserve">dt</m:t>
                        </m:r>
                      </m:den>
                    </m:f>
                  </m:e>
                </m:d>
                <m:r>
                  <w:rPr>
                    <w:rFonts w:ascii="Cambria Math" w:hAnsi="Cambria Math"/>
                  </w:rPr>
                  <m:t xml:space="preserve">dt</m:t>
                </m:r>
              </m:e>
            </m:nary>
          </m:den>
        </m:f>
        <m:r>
          <w:rPr>
            <w:rFonts w:ascii="Cambria Math" w:hAnsi="Cambria Math"/>
          </w:rPr>
          <m:t xml:space="preserve">=</m:t>
        </m:r>
        <m:f>
          <m:num>
            <m:sSub>
              <m:e>
                <m:r>
                  <w:rPr>
                    <w:rFonts w:ascii="Cambria Math" w:hAnsi="Cambria Math"/>
                  </w:rPr>
                  <m:t xml:space="preserve">A</m:t>
                </m:r>
              </m:e>
              <m:sub>
                <m:r>
                  <w:rPr>
                    <w:rFonts w:ascii="Cambria Math" w:hAnsi="Cambria Math"/>
                  </w:rPr>
                  <m:t xml:space="preserve">0</m:t>
                </m:r>
              </m:sub>
            </m:sSub>
          </m:num>
          <m:den>
            <m:sSub>
              <m:e>
                <m:r>
                  <w:rPr>
                    <w:rFonts w:ascii="Cambria Math" w:hAnsi="Cambria Math"/>
                  </w:rPr>
                  <m:t xml:space="preserve">A</m:t>
                </m:r>
              </m:e>
              <m:sub>
                <m:r>
                  <w:rPr>
                    <w:rFonts w:ascii="Cambria Math" w:hAnsi="Cambria Math"/>
                  </w:rPr>
                  <m:t xml:space="preserve">∞</m:t>
                </m:r>
              </m:sub>
            </m:sSub>
          </m:den>
        </m:f>
      </m:oMath>
      <w:r>
        <w:rPr>
          <w:rFonts w:eastAsia="" w:cs="Times New Roman" w:ascii="Times New Roman" w:hAnsi="Times New Roman" w:eastAsiaTheme="minorEastAsia"/>
          <w:sz w:val="24"/>
          <w:szCs w:val="24"/>
        </w:rPr>
        <w:t xml:space="preserve">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w:t>
      </w:r>
      <w:r>
        <w:rPr>
          <w:rFonts w:cs="Times New Roman" w:ascii="Times New Roman" w:hAnsi="Times New Roman"/>
          <w:i/>
          <w:iCs/>
          <w:sz w:val="24"/>
          <w:szCs w:val="24"/>
        </w:rPr>
        <w:t>t</w:t>
      </w:r>
      <w:r>
        <w:rPr>
          <w:rFonts w:cs="Times New Roman" w:ascii="Times New Roman" w:hAnsi="Times New Roman"/>
          <w:i/>
          <w:iCs/>
          <w:sz w:val="24"/>
          <w:szCs w:val="24"/>
          <w:vertAlign w:val="subscript"/>
        </w:rPr>
        <w:t>0</w:t>
      </w:r>
      <w:r>
        <w:rPr>
          <w:rFonts w:cs="Times New Roman" w:ascii="Times New Roman" w:hAnsi="Times New Roman"/>
          <w:i/>
          <w:iCs/>
          <w:sz w:val="24"/>
          <w:szCs w:val="24"/>
        </w:rPr>
        <w:t xml:space="preserve"> </w:t>
      </w:r>
      <w:r>
        <w:rPr>
          <w:rFonts w:cs="Times New Roman" w:ascii="Times New Roman" w:hAnsi="Times New Roman"/>
          <w:sz w:val="24"/>
          <w:szCs w:val="24"/>
        </w:rPr>
        <w:t xml:space="preserve">e </w:t>
      </w:r>
      <w:r>
        <w:rPr>
          <w:rFonts w:cs="Times New Roman" w:ascii="Times New Roman" w:hAnsi="Times New Roman"/>
          <w:i/>
          <w:iCs/>
          <w:sz w:val="24"/>
          <w:szCs w:val="24"/>
        </w:rPr>
        <w:t>t</w:t>
      </w:r>
      <w:r>
        <w:rPr>
          <w:rFonts w:cs="Times New Roman" w:ascii="Times New Roman" w:hAnsi="Times New Roman"/>
          <w:i/>
          <w:iCs/>
          <w:sz w:val="24"/>
          <w:szCs w:val="24"/>
          <w:vertAlign w:val="subscript"/>
        </w:rPr>
        <w:t>ꝏ</w:t>
      </w:r>
      <w:r>
        <w:rPr>
          <w:rFonts w:cs="Times New Roman" w:ascii="Times New Roman" w:hAnsi="Times New Roman"/>
          <w:sz w:val="24"/>
          <w:szCs w:val="24"/>
        </w:rPr>
        <w:t xml:space="preserve"> representam os tempos de início e término da cristalização, respectivamente, e </w:t>
      </w:r>
      <w:r>
        <w:rPr>
          <w:rFonts w:cs="Times New Roman" w:ascii="Times New Roman" w:hAnsi="Times New Roman"/>
          <w:i/>
          <w:iCs/>
          <w:sz w:val="24"/>
          <w:szCs w:val="24"/>
        </w:rPr>
        <w:t xml:space="preserve">t </w:t>
      </w:r>
      <w:r>
        <w:rPr>
          <w:rFonts w:cs="Times New Roman" w:ascii="Times New Roman" w:hAnsi="Times New Roman"/>
          <w:sz w:val="24"/>
          <w:szCs w:val="24"/>
        </w:rPr>
        <w:t xml:space="preserve">um tempo intermediário qualquer. Os termos </w:t>
      </w:r>
      <w:r>
        <w:rPr>
          <w:rFonts w:cs="Times New Roman" w:ascii="Times New Roman" w:hAnsi="Times New Roman"/>
          <w:i/>
          <w:iCs/>
          <w:sz w:val="24"/>
          <w:szCs w:val="24"/>
        </w:rPr>
        <w:t>A</w:t>
      </w:r>
      <w:r>
        <w:rPr>
          <w:rFonts w:cs="Times New Roman" w:ascii="Times New Roman" w:hAnsi="Times New Roman"/>
          <w:i/>
          <w:iCs/>
          <w:sz w:val="24"/>
          <w:szCs w:val="24"/>
          <w:vertAlign w:val="subscript"/>
        </w:rPr>
        <w:t>0</w:t>
      </w:r>
      <w:r>
        <w:rPr>
          <w:rFonts w:cs="Times New Roman" w:ascii="Times New Roman" w:hAnsi="Times New Roman"/>
          <w:i/>
          <w:iCs/>
          <w:sz w:val="24"/>
          <w:szCs w:val="24"/>
        </w:rPr>
        <w:t>,</w:t>
      </w:r>
      <w:r>
        <w:rPr>
          <w:rFonts w:cs="Times New Roman" w:ascii="Times New Roman" w:hAnsi="Times New Roman"/>
          <w:iCs/>
          <w:sz w:val="24"/>
          <w:szCs w:val="24"/>
        </w:rPr>
        <w:t xml:space="preserve"> área parcial, </w:t>
      </w:r>
      <w:r>
        <w:rPr>
          <w:rFonts w:cs="Times New Roman" w:ascii="Times New Roman" w:hAnsi="Times New Roman"/>
          <w:sz w:val="24"/>
          <w:szCs w:val="24"/>
        </w:rPr>
        <w:t xml:space="preserve">é a entalpia em função do tempo de consumo desde o início até um determinado tempo de cristalização e </w:t>
      </w:r>
      <w:r>
        <w:rPr>
          <w:rFonts w:cs="Times New Roman" w:ascii="Times New Roman" w:hAnsi="Times New Roman"/>
          <w:i/>
          <w:iCs/>
          <w:sz w:val="24"/>
          <w:szCs w:val="24"/>
        </w:rPr>
        <w:t>A</w:t>
      </w:r>
      <w:r>
        <w:rPr>
          <w:rFonts w:cs="Times New Roman" w:ascii="Times New Roman" w:hAnsi="Times New Roman"/>
          <w:i/>
          <w:iCs/>
          <w:sz w:val="24"/>
          <w:szCs w:val="24"/>
          <w:vertAlign w:val="subscript"/>
        </w:rPr>
        <w:t>ꝏ</w:t>
      </w:r>
      <w:r>
        <w:rPr>
          <w:rFonts w:cs="Times New Roman" w:ascii="Times New Roman" w:hAnsi="Times New Roman"/>
          <w:iCs/>
          <w:sz w:val="24"/>
          <w:szCs w:val="24"/>
        </w:rPr>
        <w:t xml:space="preserve">, área total, é </w:t>
      </w:r>
      <w:r>
        <w:rPr>
          <w:rFonts w:cs="Times New Roman" w:ascii="Times New Roman" w:hAnsi="Times New Roman"/>
          <w:sz w:val="24"/>
          <w:szCs w:val="24"/>
        </w:rPr>
        <w:t xml:space="preserve">sob a curva de DSC. </w:t>
      </w:r>
    </w:p>
    <w:p>
      <w:pPr>
        <w:pStyle w:val="Normal"/>
        <w:spacing w:lineRule="auto" w:line="360" w:before="0" w:after="0"/>
        <w:ind w:right="61" w:firstLine="1134"/>
        <w:jc w:val="both"/>
        <w:rPr>
          <w:rFonts w:ascii="Times New Roman" w:hAnsi="Times New Roman" w:cs="Times New Roman"/>
          <w:sz w:val="24"/>
          <w:szCs w:val="24"/>
        </w:rPr>
      </w:pPr>
      <w:r>
        <w:rPr>
          <w:rFonts w:cs="Times New Roman" w:ascii="Times New Roman" w:hAnsi="Times New Roman"/>
          <w:sz w:val="24"/>
          <w:szCs w:val="24"/>
        </w:rPr>
        <w:t xml:space="preserve">A figura 41 mostra o grau relativo de cristalinidade em função do tempo X(t) dos pós fluxantes A, B e D. </w:t>
      </w:r>
    </w:p>
    <w:p>
      <w:pPr>
        <w:pStyle w:val="Normal"/>
        <w:spacing w:lineRule="auto" w:line="360" w:before="0" w:after="0"/>
        <w:ind w:right="61"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left="284" w:right="61" w:hanging="0"/>
        <w:jc w:val="both"/>
        <w:rPr>
          <w:rFonts w:ascii="Times New Roman" w:hAnsi="Times New Roman" w:cs="Times New Roman"/>
          <w:sz w:val="24"/>
          <w:szCs w:val="24"/>
        </w:rPr>
      </w:pPr>
      <w:r>
        <w:rPr>
          <w:rFonts w:cs="Times New Roman" w:ascii="Times New Roman" w:hAnsi="Times New Roman"/>
          <w:sz w:val="24"/>
          <w:szCs w:val="24"/>
        </w:rPr>
        <w:t>Figura 41 - Grau relativo de cristalinidade (X) vs Tempo.</w:t>
      </w:r>
      <w:bookmarkStart w:id="159" w:name="_Hlk156895348"/>
      <w:bookmarkEnd w:id="159"/>
    </w:p>
    <w:p>
      <w:pPr>
        <w:pStyle w:val="Normal"/>
        <w:spacing w:lineRule="auto" w:line="360" w:before="0" w:after="0"/>
        <w:ind w:right="61" w:hanging="0"/>
        <w:jc w:val="both"/>
        <w:rPr>
          <w:rFonts w:ascii="Times New Roman" w:hAnsi="Times New Roman" w:cs="Times New Roman"/>
          <w:sz w:val="24"/>
          <w:szCs w:val="24"/>
        </w:rPr>
      </w:pPr>
      <w:r>
        <w:rPr/>
        <w:drawing>
          <wp:inline distT="0" distB="6350" distL="0" distR="0">
            <wp:extent cx="5433695" cy="1803400"/>
            <wp:effectExtent l="0" t="0" r="0" b="0"/>
            <wp:docPr id="49" name="Imagem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66" descr=""/>
                    <pic:cNvPicPr>
                      <a:picLocks noChangeAspect="1" noChangeArrowheads="1"/>
                    </pic:cNvPicPr>
                  </pic:nvPicPr>
                  <pic:blipFill>
                    <a:blip r:embed="rId48"/>
                    <a:srcRect l="0" t="20861" r="1015" b="22283"/>
                    <a:stretch>
                      <a:fillRect/>
                    </a:stretch>
                  </pic:blipFill>
                  <pic:spPr bwMode="auto">
                    <a:xfrm>
                      <a:off x="0" y="0"/>
                      <a:ext cx="5433695" cy="1803400"/>
                    </a:xfrm>
                    <a:prstGeom prst="rect">
                      <a:avLst/>
                    </a:prstGeom>
                  </pic:spPr>
                </pic:pic>
              </a:graphicData>
            </a:graphic>
          </wp:inline>
        </w:drawing>
      </w:r>
    </w:p>
    <w:p>
      <w:pPr>
        <w:pStyle w:val="Corpodetexto"/>
        <w:spacing w:lineRule="auto" w:line="360" w:before="0" w:after="0"/>
        <w:ind w:left="284" w:hanging="0"/>
        <w:jc w:val="both"/>
        <w:rPr>
          <w:rFonts w:ascii="Times New Roman" w:hAnsi="Times New Roman" w:cs="Times New Roman"/>
          <w:sz w:val="20"/>
          <w:szCs w:val="20"/>
        </w:rPr>
      </w:pPr>
      <w:r>
        <w:rPr>
          <w:rFonts w:cs="Times New Roman" w:ascii="Times New Roman" w:hAnsi="Times New Roman"/>
          <w:color w:val="121412"/>
          <w:sz w:val="20"/>
          <w:szCs w:val="20"/>
        </w:rPr>
        <w:t xml:space="preserve">Fonte: Fluxante - A, AUTOR (2024); Fluxantes B e D - </w:t>
      </w:r>
      <w:r>
        <w:rPr>
          <w:rFonts w:cs="Times New Roman" w:ascii="Times New Roman" w:hAnsi="Times New Roman"/>
          <w:w w:val="105"/>
          <w:sz w:val="20"/>
          <w:szCs w:val="20"/>
        </w:rPr>
        <w:t>MYUNG-DUK</w:t>
      </w:r>
      <w:r>
        <w:rPr>
          <w:rFonts w:cs="Times New Roman" w:ascii="Times New Roman" w:hAnsi="Times New Roman"/>
          <w:spacing w:val="-9"/>
          <w:w w:val="105"/>
          <w:sz w:val="20"/>
          <w:szCs w:val="20"/>
        </w:rPr>
        <w:t xml:space="preserve"> </w:t>
      </w:r>
      <w:r>
        <w:rPr>
          <w:rFonts w:cs="Times New Roman" w:ascii="Times New Roman" w:hAnsi="Times New Roman"/>
          <w:w w:val="105"/>
          <w:sz w:val="20"/>
          <w:szCs w:val="20"/>
        </w:rPr>
        <w:t>SEO et. al. (2015).</w:t>
      </w:r>
    </w:p>
    <w:p>
      <w:pPr>
        <w:pStyle w:val="Normal"/>
        <w:spacing w:lineRule="auto" w:line="360" w:before="0" w:after="0"/>
        <w:ind w:right="61"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As curvas sigmoidais de todos os pós fluxantes, são deslocadas para a direita ao longo do eixo do tempo com o aumento das temperaturas, indicando que o grau de cristalinidade dos pós fluxantes diminui com o aumento da temperatura.</w:t>
      </w:r>
    </w:p>
    <w:p>
      <w:pPr>
        <w:pStyle w:val="Normal"/>
        <w:widowControl w:val="false"/>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5.2 Cinética de cristalização isotérmica</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p>
    <w:p>
      <w:pPr>
        <w:pStyle w:val="Corpodetexto"/>
        <w:spacing w:lineRule="auto" w:line="360" w:before="3" w:after="140"/>
        <w:ind w:firstLine="1134"/>
        <w:jc w:val="both"/>
        <w:rPr>
          <w:rFonts w:ascii="Times New Roman" w:hAnsi="Times New Roman" w:cs="Times New Roman"/>
          <w:color w:val="121412"/>
          <w:w w:val="105"/>
          <w:sz w:val="24"/>
          <w:szCs w:val="24"/>
        </w:rPr>
      </w:pPr>
      <w:r>
        <w:rPr>
          <w:rFonts w:cs="Times New Roman" w:ascii="Times New Roman" w:hAnsi="Times New Roman"/>
          <w:color w:val="121412"/>
          <w:w w:val="105"/>
          <w:sz w:val="24"/>
          <w:szCs w:val="24"/>
        </w:rPr>
        <w:t xml:space="preserve">Neste estudo, a cinética de cristalização isotérmica do pó fluxante A foi investigada sistematicamente pela aplicação da equação de JMAK para se obter os parâmetros cinéticos </w:t>
      </w:r>
      <w:r>
        <w:rPr>
          <w:rFonts w:cs="Times New Roman" w:ascii="Times New Roman" w:hAnsi="Times New Roman"/>
          <w:b/>
          <w:i/>
          <w:sz w:val="24"/>
          <w:szCs w:val="24"/>
        </w:rPr>
        <w:t>k</w:t>
      </w:r>
      <w:r>
        <w:rPr>
          <w:rFonts w:cs="Times New Roman" w:ascii="Times New Roman" w:hAnsi="Times New Roman"/>
          <w:sz w:val="24"/>
          <w:szCs w:val="24"/>
        </w:rPr>
        <w:t xml:space="preserve"> e </w:t>
      </w:r>
      <w:r>
        <w:rPr>
          <w:rFonts w:cs="Times New Roman" w:ascii="Times New Roman" w:hAnsi="Times New Roman"/>
          <w:b/>
          <w:i/>
          <w:sz w:val="24"/>
          <w:szCs w:val="24"/>
        </w:rPr>
        <w:t>n</w:t>
      </w:r>
      <w:r>
        <w:rPr>
          <w:rFonts w:cs="Times New Roman" w:ascii="Times New Roman" w:hAnsi="Times New Roman"/>
          <w:sz w:val="24"/>
          <w:szCs w:val="24"/>
        </w:rPr>
        <w:t>, que são constantes independentes do tempo.</w:t>
      </w:r>
    </w:p>
    <w:p>
      <w:pPr>
        <w:pStyle w:val="Normal"/>
        <w:spacing w:lineRule="auto" w:line="360" w:before="0" w:after="0"/>
        <w:ind w:firstLine="1134"/>
        <w:jc w:val="both"/>
        <w:rPr>
          <w:rFonts w:ascii="Times New Roman" w:hAnsi="Times New Roman" w:cs="Times New Roman"/>
          <w:sz w:val="24"/>
          <w:szCs w:val="24"/>
        </w:rPr>
      </w:pPr>
      <w:r>
        <w:rPr/>
      </w:r>
      <m:oMath xmlns:m="http://schemas.openxmlformats.org/officeDocument/2006/math">
        <m:r>
          <w:rPr>
            <w:rFonts w:ascii="Cambria Math" w:hAnsi="Cambria Math"/>
          </w:rPr>
          <m:t xml:space="preserve">X</m:t>
        </m:r>
        <m:d>
          <m:dPr>
            <m:begChr m:val="("/>
            <m:endChr m:val=")"/>
          </m:dPr>
          <m:e>
            <m:r>
              <w:rPr>
                <w:rFonts w:ascii="Cambria Math" w:hAnsi="Cambria Math"/>
              </w:rPr>
              <m:t xml:space="preserve">t</m:t>
            </m:r>
          </m:e>
        </m:d>
        <m:r>
          <w:rPr>
            <w:rFonts w:ascii="Cambria Math" w:hAnsi="Cambria Math"/>
          </w:rPr>
          <m:t xml:space="preserve">=</m:t>
        </m:r>
        <m:r>
          <w:rPr>
            <w:rFonts w:ascii="Cambria Math" w:hAnsi="Cambria Math"/>
          </w:rPr>
          <m:t xml:space="preserve">1</m:t>
        </m:r>
        <m:r>
          <w:rPr>
            <w:rFonts w:ascii="Cambria Math" w:hAnsi="Cambria Math"/>
          </w:rPr>
          <m:t xml:space="preserve">−</m:t>
        </m:r>
        <m:sSup>
          <m:e>
            <m:r>
              <w:rPr>
                <w:rFonts w:ascii="Cambria Math" w:hAnsi="Cambria Math"/>
              </w:rPr>
              <m:t xml:space="preserve">e</m:t>
            </m:r>
          </m:e>
          <m:sup>
            <m:r>
              <w:rPr>
                <w:rFonts w:ascii="Cambria Math" w:hAnsi="Cambria Math"/>
              </w:rPr>
              <m:t xml:space="preserve">−</m:t>
            </m:r>
            <m:r>
              <w:rPr>
                <w:rFonts w:ascii="Cambria Math" w:hAnsi="Cambria Math"/>
              </w:rPr>
              <m:t xml:space="preserve">k</m:t>
            </m:r>
            <m:sSup>
              <m:e>
                <m:r>
                  <w:rPr>
                    <w:rFonts w:ascii="Cambria Math" w:hAnsi="Cambria Math"/>
                  </w:rPr>
                  <m:t xml:space="preserve">t</m:t>
                </m:r>
              </m:e>
              <m:sup>
                <m:r>
                  <w:rPr>
                    <w:rFonts w:ascii="Cambria Math" w:hAnsi="Cambria Math"/>
                  </w:rPr>
                  <m:t xml:space="preserve">n</m:t>
                </m:r>
              </m:sup>
            </m:sSup>
          </m:sup>
        </m:sSup>
      </m:oMath>
      <w:r>
        <w:rPr>
          <w:rFonts w:eastAsia="" w:cs="Times New Roman" w:ascii="Times New Roman" w:hAnsi="Times New Roman" w:eastAsiaTheme="minorEastAsia"/>
          <w:sz w:val="24"/>
          <w:szCs w:val="24"/>
        </w:rPr>
        <w:t xml:space="preserve">        </w:t>
      </w:r>
      <w:r>
        <w:rPr>
          <w:rFonts w:eastAsia="" w:cs="Times New Roman" w:ascii="Times New Roman" w:hAnsi="Times New Roman" w:eastAsiaTheme="minorEastAsia"/>
          <w:b/>
          <w:sz w:val="24"/>
          <w:szCs w:val="24"/>
        </w:rPr>
        <w:t>(Equação JMAK)</w:t>
      </w:r>
      <w:r>
        <w:rPr>
          <w:rFonts w:eastAsia="" w:cs="Times New Roman" w:ascii="Times New Roman" w:hAnsi="Times New Roman" w:eastAsiaTheme="minorEastAsia"/>
          <w:sz w:val="24"/>
          <w:szCs w:val="24"/>
        </w:rPr>
        <w:t xml:space="preserve">                                                            </w:t>
      </w:r>
    </w:p>
    <w:p>
      <w:pPr>
        <w:pStyle w:val="Normal"/>
        <w:spacing w:lineRule="auto" w:line="360" w:before="24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w:t>
      </w:r>
      <w:r>
        <w:rPr>
          <w:rFonts w:cs="Times New Roman" w:ascii="Times New Roman" w:hAnsi="Times New Roman"/>
          <w:b/>
          <w:i/>
          <w:sz w:val="24"/>
          <w:szCs w:val="24"/>
        </w:rPr>
        <w:t>X(t)</w:t>
      </w:r>
      <w:r>
        <w:rPr>
          <w:rFonts w:cs="Times New Roman" w:ascii="Times New Roman" w:hAnsi="Times New Roman"/>
          <w:sz w:val="24"/>
          <w:szCs w:val="24"/>
        </w:rPr>
        <w:t xml:space="preserve"> é a fração de massa cristalizada após um tempo </w:t>
      </w:r>
      <w:r>
        <w:rPr>
          <w:rFonts w:cs="Times New Roman" w:ascii="Times New Roman" w:hAnsi="Times New Roman"/>
          <w:b/>
          <w:i/>
          <w:sz w:val="24"/>
          <w:szCs w:val="24"/>
        </w:rPr>
        <w:t>t</w:t>
      </w:r>
      <w:r>
        <w:rPr>
          <w:rFonts w:cs="Times New Roman" w:ascii="Times New Roman" w:hAnsi="Times New Roman"/>
          <w:sz w:val="24"/>
          <w:szCs w:val="24"/>
        </w:rPr>
        <w:t xml:space="preserve"> (o tempo de incubação é excluído), </w:t>
      </w:r>
      <w:r>
        <w:rPr>
          <w:rFonts w:cs="Times New Roman" w:ascii="Times New Roman" w:hAnsi="Times New Roman"/>
          <w:b/>
          <w:i/>
          <w:sz w:val="24"/>
          <w:szCs w:val="24"/>
        </w:rPr>
        <w:t>k</w:t>
      </w:r>
      <w:r>
        <w:rPr>
          <w:rFonts w:cs="Times New Roman" w:ascii="Times New Roman" w:hAnsi="Times New Roman"/>
          <w:sz w:val="24"/>
          <w:szCs w:val="24"/>
        </w:rPr>
        <w:t xml:space="preserve"> é a constante cinética definida como taxa de cristalização e </w:t>
      </w:r>
      <w:r>
        <w:rPr>
          <w:rFonts w:cs="Times New Roman" w:ascii="Times New Roman" w:hAnsi="Times New Roman"/>
          <w:b/>
          <w:i/>
          <w:sz w:val="24"/>
          <w:szCs w:val="24"/>
        </w:rPr>
        <w:t>n</w:t>
      </w:r>
      <w:r>
        <w:rPr>
          <w:rFonts w:cs="Times New Roman" w:ascii="Times New Roman" w:hAnsi="Times New Roman"/>
          <w:sz w:val="24"/>
          <w:szCs w:val="24"/>
        </w:rPr>
        <w:t xml:space="preserve"> é o expoente de Avrami. </w:t>
      </w:r>
      <w:r>
        <w:rPr>
          <w:rFonts w:cs="Times New Roman" w:ascii="Times New Roman" w:hAnsi="Times New Roman"/>
          <w:b/>
          <w:i/>
          <w:sz w:val="24"/>
          <w:szCs w:val="24"/>
        </w:rPr>
        <w:t>k</w:t>
      </w:r>
      <w:r>
        <w:rPr>
          <w:rFonts w:cs="Times New Roman" w:ascii="Times New Roman" w:hAnsi="Times New Roman"/>
          <w:sz w:val="24"/>
          <w:szCs w:val="24"/>
        </w:rPr>
        <w:t xml:space="preserve"> e </w:t>
      </w:r>
      <w:r>
        <w:rPr>
          <w:rFonts w:cs="Times New Roman" w:ascii="Times New Roman" w:hAnsi="Times New Roman"/>
          <w:b/>
          <w:i/>
          <w:sz w:val="24"/>
          <w:szCs w:val="24"/>
        </w:rPr>
        <w:t>n</w:t>
      </w:r>
      <w:r>
        <w:rPr>
          <w:rFonts w:cs="Times New Roman" w:ascii="Times New Roman" w:hAnsi="Times New Roman"/>
          <w:sz w:val="24"/>
          <w:szCs w:val="24"/>
        </w:rPr>
        <w:t xml:space="preserve"> são determinados ajustando-se a equação acima aos dados experimentais.</w:t>
      </w:r>
    </w:p>
    <w:p>
      <w:pPr>
        <w:pStyle w:val="Normal"/>
        <w:spacing w:lineRule="auto" w:line="360"/>
        <w:ind w:firstLine="1134"/>
        <w:jc w:val="both"/>
        <w:rPr>
          <w:rFonts w:ascii="Times New Roman" w:hAnsi="Times New Roman" w:cs="Times New Roman"/>
          <w:sz w:val="24"/>
          <w:szCs w:val="24"/>
        </w:rPr>
      </w:pPr>
      <w:r>
        <w:rPr>
          <w:rFonts w:cs="Times New Roman" w:ascii="Times New Roman" w:hAnsi="Times New Roman"/>
          <w:sz w:val="24"/>
        </w:rPr>
        <w:t>Nesta equação, de forma sigmoidal, aplicamos</w:t>
      </w:r>
      <w:r>
        <w:rPr>
          <w:rFonts w:cs="Times New Roman" w:ascii="Times New Roman" w:hAnsi="Times New Roman"/>
          <w:sz w:val="24"/>
          <w:szCs w:val="24"/>
        </w:rPr>
        <w:t xml:space="preserve"> duas vezes o logaritmo, ou seja:</w:t>
      </w:r>
    </w:p>
    <w:p>
      <w:pPr>
        <w:pStyle w:val="Normal"/>
        <w:spacing w:lineRule="auto" w:line="360" w:before="240" w:after="140"/>
        <w:ind w:firstLine="1134"/>
        <w:jc w:val="both"/>
        <w:rPr>
          <w:rFonts w:ascii="Times New Roman" w:hAnsi="Times New Roman" w:eastAsia="" w:cs="Times New Roman" w:eastAsiaTheme="minorEastAsia"/>
          <w:sz w:val="24"/>
          <w:szCs w:val="24"/>
        </w:rPr>
      </w:pPr>
      <w:r>
        <w:rPr/>
      </w:r>
      <m:oMath xmlns:m="http://schemas.openxmlformats.org/officeDocument/2006/math">
        <m:r>
          <w:rPr>
            <w:rFonts w:ascii="Cambria Math" w:hAnsi="Cambria Math"/>
          </w:rPr>
          <m:t xml:space="preserve">ln</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x</m:t>
            </m:r>
          </m:e>
        </m:d>
        <m:r>
          <w:rPr>
            <w:rFonts w:ascii="Cambria Math" w:hAnsi="Cambria Math"/>
          </w:rPr>
          <m:t xml:space="preserve">=</m:t>
        </m:r>
        <m:sSup>
          <m:e>
            <m:r>
              <w:rPr>
                <w:rFonts w:ascii="Cambria Math" w:hAnsi="Cambria Math"/>
              </w:rPr>
              <m:t xml:space="preserve">−</m:t>
            </m:r>
            <m:r>
              <w:rPr>
                <w:rFonts w:ascii="Cambria Math" w:hAnsi="Cambria Math"/>
              </w:rPr>
              <m:t xml:space="preserve">kt</m:t>
            </m:r>
          </m:e>
          <m:sup>
            <m:r>
              <w:rPr>
                <w:rFonts w:ascii="Cambria Math" w:hAnsi="Cambria Math"/>
              </w:rPr>
              <m:t xml:space="preserve">n</m:t>
            </m:r>
          </m:sup>
        </m:sSup>
      </m:oMath>
      <w:r>
        <w:rPr>
          <w:rFonts w:eastAsia="" w:cs="Times New Roman" w:ascii="Times New Roman" w:hAnsi="Times New Roman" w:eastAsiaTheme="minorEastAsia"/>
          <w:sz w:val="24"/>
          <w:szCs w:val="24"/>
        </w:rPr>
        <w:t xml:space="preserve">   →   </w:t>
      </w:r>
      <w:r>
        <w:rPr/>
      </w:r>
      <m:oMath xmlns:m="http://schemas.openxmlformats.org/officeDocument/2006/math">
        <m:r>
          <w:rPr>
            <w:rFonts w:ascii="Cambria Math" w:hAnsi="Cambria Math"/>
          </w:rPr>
          <m:t xml:space="preserve">log</m:t>
        </m:r>
        <m:d>
          <m:dPr>
            <m:begChr m:val="["/>
            <m:endChr m:val="]"/>
          </m:dPr>
          <m:e>
            <m:r>
              <w:rPr>
                <w:rFonts w:ascii="Cambria Math" w:hAnsi="Cambria Math"/>
              </w:rPr>
              <m:t xml:space="preserve">−</m:t>
            </m:r>
            <m:r>
              <w:rPr>
                <w:rFonts w:ascii="Cambria Math" w:hAnsi="Cambria Math"/>
              </w:rPr>
              <m:t xml:space="preserve">ln</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X</m:t>
                </m:r>
              </m:e>
            </m:d>
          </m:e>
        </m:d>
        <m:r>
          <w:rPr>
            <w:rFonts w:ascii="Cambria Math" w:hAnsi="Cambria Math"/>
          </w:rPr>
          <m:t xml:space="preserve">=</m:t>
        </m:r>
        <m:r>
          <w:rPr>
            <w:rFonts w:ascii="Cambria Math" w:hAnsi="Cambria Math"/>
          </w:rPr>
          <m:t xml:space="preserve">log</m:t>
        </m:r>
        <m:r>
          <w:rPr>
            <w:rFonts w:ascii="Cambria Math" w:hAnsi="Cambria Math"/>
          </w:rPr>
          <m:t xml:space="preserve">k</m:t>
        </m:r>
        <m:r>
          <w:rPr>
            <w:rFonts w:ascii="Cambria Math" w:hAnsi="Cambria Math"/>
          </w:rPr>
          <m:t xml:space="preserve">+</m:t>
        </m:r>
        <m:r>
          <w:rPr>
            <w:rFonts w:ascii="Cambria Math" w:hAnsi="Cambria Math"/>
          </w:rPr>
          <m:t xml:space="preserve">n</m:t>
        </m:r>
        <m:r>
          <w:rPr>
            <w:rFonts w:ascii="Cambria Math" w:hAnsi="Cambria Math"/>
          </w:rPr>
          <m:t xml:space="preserve">log</m:t>
        </m:r>
        <m:r>
          <w:rPr>
            <w:rFonts w:ascii="Cambria Math" w:hAnsi="Cambria Math"/>
          </w:rPr>
          <m:t xml:space="preserve">t</m:t>
        </m:r>
      </m:oMath>
      <w:r>
        <w:rPr>
          <w:rFonts w:eastAsia="" w:cs="Times New Roman" w:ascii="Times New Roman" w:hAnsi="Times New Roman" w:eastAsiaTheme="minorEastAsia"/>
          <w:sz w:val="24"/>
          <w:szCs w:val="24"/>
        </w:rPr>
        <w:t xml:space="preserve">                  </w:t>
      </w:r>
    </w:p>
    <w:p>
      <w:pPr>
        <w:pStyle w:val="Normal"/>
        <w:spacing w:lineRule="auto" w:line="360" w:before="0" w:after="0"/>
        <w:ind w:right="61" w:firstLine="1134"/>
        <w:jc w:val="both"/>
        <w:rPr>
          <w:rFonts w:ascii="Times New Roman" w:hAnsi="Times New Roman" w:cs="Times New Roman"/>
          <w:w w:val="105"/>
          <w:sz w:val="24"/>
          <w:szCs w:val="24"/>
        </w:rPr>
      </w:pPr>
      <w:r>
        <w:rPr>
          <w:rFonts w:cs="Times New Roman" w:ascii="Times New Roman" w:hAnsi="Times New Roman"/>
          <w:sz w:val="24"/>
          <w:szCs w:val="24"/>
        </w:rPr>
        <w:t xml:space="preserve">Agora plotamos o gráfico </w:t>
      </w:r>
      <w:r>
        <w:rPr>
          <w:rFonts w:cs="Times New Roman" w:ascii="Times New Roman" w:hAnsi="Times New Roman"/>
          <w:w w:val="105"/>
          <w:sz w:val="24"/>
          <w:szCs w:val="24"/>
        </w:rPr>
        <w:t xml:space="preserve">log[-ln(1-X)] vs log </w:t>
      </w:r>
      <w:r>
        <w:rPr>
          <w:rFonts w:cs="Times New Roman" w:ascii="Times New Roman" w:hAnsi="Times New Roman"/>
          <w:b/>
          <w:i/>
          <w:w w:val="105"/>
          <w:sz w:val="24"/>
          <w:szCs w:val="24"/>
        </w:rPr>
        <w:t>t</w:t>
      </w:r>
      <w:r>
        <w:rPr>
          <w:rFonts w:cs="Times New Roman" w:ascii="Times New Roman" w:hAnsi="Times New Roman"/>
          <w:b/>
          <w:w w:val="105"/>
          <w:sz w:val="24"/>
          <w:szCs w:val="24"/>
        </w:rPr>
        <w:t xml:space="preserve"> </w:t>
      </w:r>
      <w:r>
        <w:rPr>
          <w:rFonts w:cs="Times New Roman" w:ascii="Times New Roman" w:hAnsi="Times New Roman"/>
          <w:w w:val="105"/>
          <w:sz w:val="24"/>
          <w:szCs w:val="24"/>
        </w:rPr>
        <w:t xml:space="preserve">(segundos) do pó fluxante A nas diferentes isotermas, conforme ilustra a </w:t>
      </w:r>
      <w:r>
        <w:rPr>
          <w:rFonts w:cs="Times New Roman" w:ascii="Times New Roman" w:hAnsi="Times New Roman"/>
          <w:sz w:val="24"/>
          <w:szCs w:val="24"/>
        </w:rPr>
        <w:t>figura 42.</w:t>
      </w:r>
    </w:p>
    <w:p>
      <w:pPr>
        <w:pStyle w:val="Normal"/>
        <w:spacing w:lineRule="auto" w:line="360" w:before="0" w:after="0"/>
        <w:ind w:right="61" w:firstLine="708"/>
        <w:jc w:val="both"/>
        <w:rPr>
          <w:rFonts w:ascii="Times New Roman" w:hAnsi="Times New Roman" w:cs="Times New Roman"/>
          <w:w w:val="105"/>
          <w:sz w:val="24"/>
          <w:szCs w:val="24"/>
        </w:rPr>
      </w:pPr>
      <w:r>
        <w:rPr>
          <w:rFonts w:cs="Times New Roman" w:ascii="Times New Roman" w:hAnsi="Times New Roman"/>
          <w:w w:val="105"/>
          <w:sz w:val="24"/>
          <w:szCs w:val="24"/>
        </w:rPr>
      </w:r>
    </w:p>
    <w:p>
      <w:pPr>
        <w:pStyle w:val="Normal"/>
        <w:spacing w:lineRule="auto" w:line="240" w:before="0" w:after="0"/>
        <w:ind w:left="1701" w:right="61" w:hanging="0"/>
        <w:jc w:val="both"/>
        <w:rPr>
          <w:rFonts w:ascii="Times New Roman" w:hAnsi="Times New Roman" w:cs="Times New Roman"/>
          <w:w w:val="105"/>
          <w:sz w:val="24"/>
          <w:szCs w:val="24"/>
        </w:rPr>
      </w:pPr>
      <w:r>
        <w:rPr>
          <w:rFonts w:cs="Times New Roman" w:ascii="Times New Roman" w:hAnsi="Times New Roman"/>
          <w:w w:val="105"/>
          <w:sz w:val="24"/>
          <w:szCs w:val="24"/>
        </w:rPr>
        <w:t>Figura 42 - log[-ln(1-X)] vs log t do pó fluxante A.</w:t>
      </w:r>
      <w:bookmarkStart w:id="160" w:name="_Hlk156895364"/>
      <w:bookmarkEnd w:id="160"/>
    </w:p>
    <w:p>
      <w:pPr>
        <w:pStyle w:val="Normal"/>
        <w:spacing w:lineRule="auto" w:line="360" w:before="0" w:after="0"/>
        <w:ind w:right="61" w:hanging="0"/>
        <w:jc w:val="center"/>
        <w:rPr>
          <w:rFonts w:ascii="Times New Roman" w:hAnsi="Times New Roman" w:cs="Times New Roman"/>
          <w:w w:val="105"/>
          <w:sz w:val="24"/>
          <w:szCs w:val="24"/>
        </w:rPr>
      </w:pPr>
      <w:r>
        <w:rPr/>
        <w:drawing>
          <wp:inline distT="0" distB="6350" distL="0" distR="8890">
            <wp:extent cx="3268345" cy="2432050"/>
            <wp:effectExtent l="0" t="0" r="0" b="0"/>
            <wp:docPr id="50"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22" descr=""/>
                    <pic:cNvPicPr>
                      <a:picLocks noChangeAspect="1" noChangeArrowheads="1"/>
                    </pic:cNvPicPr>
                  </pic:nvPicPr>
                  <pic:blipFill>
                    <a:blip r:embed="rId49"/>
                    <a:srcRect l="6593" t="19133" r="44723" b="12376"/>
                    <a:stretch>
                      <a:fillRect/>
                    </a:stretch>
                  </pic:blipFill>
                  <pic:spPr bwMode="auto">
                    <a:xfrm>
                      <a:off x="0" y="0"/>
                      <a:ext cx="3268345" cy="2432050"/>
                    </a:xfrm>
                    <a:prstGeom prst="rect">
                      <a:avLst/>
                    </a:prstGeom>
                  </pic:spPr>
                </pic:pic>
              </a:graphicData>
            </a:graphic>
          </wp:inline>
        </w:drawing>
      </w:r>
    </w:p>
    <w:p>
      <w:pPr>
        <w:pStyle w:val="Normal"/>
        <w:spacing w:lineRule="auto" w:line="240" w:before="0" w:after="0"/>
        <w:ind w:left="1701" w:hanging="0"/>
        <w:jc w:val="both"/>
        <w:rPr>
          <w:rFonts w:ascii="Times New Roman" w:hAnsi="Times New Roman" w:cs="Times New Roman"/>
          <w:color w:val="121412"/>
          <w:sz w:val="20"/>
          <w:szCs w:val="24"/>
        </w:rPr>
      </w:pPr>
      <w:r>
        <w:rPr>
          <w:rFonts w:cs="Times New Roman" w:ascii="Times New Roman" w:hAnsi="Times New Roman"/>
          <w:color w:val="121412"/>
          <w:sz w:val="20"/>
          <w:szCs w:val="24"/>
        </w:rPr>
        <w:t>Fonte: elaborado pelo autor.</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1134"/>
        <w:jc w:val="both"/>
        <w:rPr>
          <w:rFonts w:ascii="Times New Roman" w:hAnsi="Times New Roman" w:cs="Times New Roman"/>
          <w:w w:val="105"/>
          <w:sz w:val="24"/>
          <w:szCs w:val="24"/>
        </w:rPr>
      </w:pPr>
      <w:r>
        <w:rPr>
          <w:rFonts w:cs="Times New Roman" w:ascii="Times New Roman" w:hAnsi="Times New Roman"/>
          <w:sz w:val="24"/>
          <w:szCs w:val="24"/>
        </w:rPr>
        <w:t>No início, a taxa de crescimento é lenta devido ao processo de incubação, em que pequenas partículas começam a aparecer (embriões) e a instabilidade dos embriões recém-formados retornando a fase molecular. No final, ocorre a saturação do crescimento de cristais, devido a ocupação dos mesmos em quase todo volume do material, retardando o final da cristalização do material.</w:t>
      </w:r>
    </w:p>
    <w:p>
      <w:pPr>
        <w:pStyle w:val="Normal"/>
        <w:spacing w:lineRule="auto" w:line="360" w:before="102" w:after="140"/>
        <w:ind w:right="61" w:firstLine="1134"/>
        <w:jc w:val="both"/>
        <w:rPr>
          <w:rFonts w:ascii="Times New Roman" w:hAnsi="Times New Roman" w:cs="Times New Roman"/>
          <w:color w:val="121412"/>
          <w:sz w:val="24"/>
          <w:szCs w:val="24"/>
        </w:rPr>
      </w:pPr>
      <w:r>
        <w:rPr>
          <w:rFonts w:cs="Times New Roman" w:ascii="Times New Roman" w:hAnsi="Times New Roman"/>
          <w:w w:val="105"/>
          <w:sz w:val="24"/>
          <w:szCs w:val="24"/>
        </w:rPr>
        <w:t>Eliminando as extremidades</w:t>
      </w:r>
      <w:r>
        <w:rPr>
          <w:rFonts w:cs="Times New Roman" w:ascii="Times New Roman" w:hAnsi="Times New Roman"/>
          <w:color w:val="121412"/>
          <w:sz w:val="24"/>
          <w:szCs w:val="24"/>
        </w:rPr>
        <w:t xml:space="preserve">, foi utilizado os intervalos log </w:t>
      </w:r>
      <w:r>
        <w:rPr>
          <w:rFonts w:cs="Times New Roman" w:ascii="Times New Roman" w:hAnsi="Times New Roman"/>
          <w:b/>
          <w:color w:val="121412"/>
          <w:sz w:val="24"/>
          <w:szCs w:val="24"/>
        </w:rPr>
        <w:t>t</w:t>
      </w:r>
      <w:r>
        <w:rPr>
          <w:rFonts w:cs="Times New Roman" w:ascii="Times New Roman" w:hAnsi="Times New Roman"/>
          <w:color w:val="121412"/>
          <w:sz w:val="24"/>
          <w:szCs w:val="24"/>
        </w:rPr>
        <w:t xml:space="preserve"> de 1,8 a 3,0 onde as linhas estão com a inclinação mais estável.</w:t>
      </w:r>
    </w:p>
    <w:p>
      <w:pPr>
        <w:pStyle w:val="Normal"/>
        <w:spacing w:lineRule="auto" w:line="360" w:before="0" w:after="0"/>
        <w:ind w:right="61" w:firstLine="1134"/>
        <w:jc w:val="both"/>
        <w:rPr>
          <w:rFonts w:ascii="Times New Roman" w:hAnsi="Times New Roman" w:cs="Times New Roman"/>
          <w:color w:val="121412"/>
          <w:sz w:val="24"/>
          <w:szCs w:val="24"/>
        </w:rPr>
      </w:pPr>
      <w:r>
        <w:rPr>
          <w:rFonts w:cs="Times New Roman" w:ascii="Times New Roman" w:hAnsi="Times New Roman"/>
          <w:color w:val="121412"/>
          <w:sz w:val="24"/>
          <w:szCs w:val="24"/>
        </w:rPr>
        <w:t>A tabela 4 informa alguns pontos de interseção gráfica de log[-ln(1-X)] relativos aos valores de log (t) de 1,8 a 3,0.</w:t>
      </w:r>
    </w:p>
    <w:p>
      <w:pPr>
        <w:pStyle w:val="Normal"/>
        <w:spacing w:lineRule="auto" w:line="360" w:before="0" w:after="0"/>
        <w:ind w:right="61" w:firstLine="1134"/>
        <w:jc w:val="both"/>
        <w:rPr>
          <w:rFonts w:ascii="Times New Roman" w:hAnsi="Times New Roman" w:cs="Times New Roman"/>
          <w:color w:val="121412"/>
          <w:sz w:val="24"/>
          <w:szCs w:val="24"/>
        </w:rPr>
      </w:pPr>
      <w:r>
        <w:rPr>
          <w:rFonts w:cs="Times New Roman" w:ascii="Times New Roman" w:hAnsi="Times New Roman"/>
          <w:color w:val="121412"/>
          <w:sz w:val="24"/>
          <w:szCs w:val="24"/>
        </w:rPr>
      </w:r>
    </w:p>
    <w:p>
      <w:pPr>
        <w:pStyle w:val="Normal"/>
        <w:spacing w:lineRule="auto" w:line="360" w:before="0" w:after="0"/>
        <w:jc w:val="both"/>
        <w:rPr>
          <w:rFonts w:ascii="Times New Roman" w:hAnsi="Times New Roman" w:cs="Times New Roman"/>
          <w:color w:val="121412"/>
          <w:sz w:val="24"/>
          <w:szCs w:val="24"/>
        </w:rPr>
      </w:pPr>
      <w:bookmarkStart w:id="161" w:name="_Hlk156897321"/>
      <w:r>
        <w:rPr>
          <w:rFonts w:cs="Times New Roman" w:ascii="Times New Roman" w:hAnsi="Times New Roman"/>
          <w:w w:val="105"/>
          <w:sz w:val="24"/>
          <w:szCs w:val="24"/>
        </w:rPr>
        <w:t xml:space="preserve">Tabela 4 - Valores de </w:t>
      </w:r>
      <w:r>
        <w:rPr>
          <w:rFonts w:cs="Times New Roman" w:ascii="Times New Roman" w:hAnsi="Times New Roman"/>
          <w:b/>
          <w:i/>
          <w:w w:val="105"/>
          <w:sz w:val="24"/>
          <w:szCs w:val="24"/>
        </w:rPr>
        <w:t>log[-ln(1-X)]</w:t>
      </w:r>
      <w:r>
        <w:rPr>
          <w:rFonts w:cs="Times New Roman" w:ascii="Times New Roman" w:hAnsi="Times New Roman"/>
          <w:w w:val="105"/>
          <w:sz w:val="24"/>
          <w:szCs w:val="24"/>
        </w:rPr>
        <w:t xml:space="preserve"> relativos a log </w:t>
      </w:r>
      <w:r>
        <w:rPr>
          <w:rFonts w:cs="Times New Roman" w:ascii="Times New Roman" w:hAnsi="Times New Roman"/>
          <w:b/>
          <w:i/>
          <w:w w:val="105"/>
          <w:sz w:val="24"/>
          <w:szCs w:val="24"/>
        </w:rPr>
        <w:t>t</w:t>
      </w:r>
      <w:r>
        <w:rPr>
          <w:rFonts w:cs="Times New Roman" w:ascii="Times New Roman" w:hAnsi="Times New Roman"/>
          <w:w w:val="105"/>
          <w:sz w:val="24"/>
          <w:szCs w:val="24"/>
        </w:rPr>
        <w:t xml:space="preserve"> do pó fluxante A.</w:t>
      </w:r>
      <w:bookmarkEnd w:id="161"/>
    </w:p>
    <w:tbl>
      <w:tblPr>
        <w:tblStyle w:val="Tabelacomgrade"/>
        <w:tblW w:w="5000" w:type="pct"/>
        <w:jc w:val="center"/>
        <w:tblInd w:w="0" w:type="dxa"/>
        <w:tblCellMar>
          <w:top w:w="0" w:type="dxa"/>
          <w:left w:w="108" w:type="dxa"/>
          <w:bottom w:w="0" w:type="dxa"/>
          <w:right w:w="108" w:type="dxa"/>
        </w:tblCellMar>
        <w:tblLook w:noVBand="1" w:val="04a0" w:noHBand="0" w:lastColumn="0" w:firstColumn="1" w:lastRow="0" w:firstRow="1"/>
      </w:tblPr>
      <w:tblGrid>
        <w:gridCol w:w="1645"/>
        <w:gridCol w:w="1750"/>
        <w:gridCol w:w="1750"/>
        <w:gridCol w:w="1750"/>
        <w:gridCol w:w="1752"/>
      </w:tblGrid>
      <w:tr>
        <w:trPr>
          <w:trHeight w:val="284" w:hRule="exact"/>
        </w:trPr>
        <w:tc>
          <w:tcPr>
            <w:tcW w:w="1645" w:type="dxa"/>
            <w:vMerge w:val="restart"/>
            <w:tcBorders>
              <w:left w:val="nil"/>
              <w:bottom w:val="nil"/>
              <w:right w:val="nil"/>
              <w:insideH w:val="nil"/>
              <w:insideV w:val="nil"/>
            </w:tcBorders>
            <w:shd w:fill="auto" w:val="clear"/>
            <w:vAlign w:val="cente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log (t)</w:t>
            </w:r>
          </w:p>
        </w:tc>
        <w:tc>
          <w:tcPr>
            <w:tcW w:w="7002" w:type="dxa"/>
            <w:gridSpan w:val="4"/>
            <w:tcBorders>
              <w:left w:val="nil"/>
              <w:right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log(-ln(1-X))</w:t>
            </w:r>
          </w:p>
        </w:tc>
      </w:tr>
      <w:tr>
        <w:trPr>
          <w:trHeight w:val="284" w:hRule="exact"/>
        </w:trPr>
        <w:tc>
          <w:tcPr>
            <w:tcW w:w="1645" w:type="dxa"/>
            <w:vMerge w:val="continue"/>
            <w:tcBorders>
              <w:top w:val="nil"/>
              <w:left w:val="nil"/>
              <w:right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c>
          <w:tcPr>
            <w:tcW w:w="1750" w:type="dxa"/>
            <w:tcBorders>
              <w:left w:val="nil"/>
              <w:right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1293K</w:t>
            </w:r>
          </w:p>
        </w:tc>
        <w:tc>
          <w:tcPr>
            <w:tcW w:w="1750" w:type="dxa"/>
            <w:tcBorders>
              <w:left w:val="nil"/>
              <w:right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1303K</w:t>
            </w:r>
          </w:p>
        </w:tc>
        <w:tc>
          <w:tcPr>
            <w:tcW w:w="1750" w:type="dxa"/>
            <w:tcBorders>
              <w:left w:val="nil"/>
              <w:right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1313K</w:t>
            </w:r>
          </w:p>
        </w:tc>
        <w:tc>
          <w:tcPr>
            <w:tcW w:w="1752" w:type="dxa"/>
            <w:tcBorders>
              <w:left w:val="nil"/>
              <w:right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1323K</w:t>
            </w:r>
          </w:p>
        </w:tc>
      </w:tr>
      <w:tr>
        <w:trPr>
          <w:trHeight w:val="284" w:hRule="exact"/>
        </w:trPr>
        <w:tc>
          <w:tcPr>
            <w:tcW w:w="1645" w:type="dxa"/>
            <w:tcBorders>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1,8</w:t>
            </w:r>
          </w:p>
        </w:tc>
        <w:tc>
          <w:tcPr>
            <w:tcW w:w="1750" w:type="dxa"/>
            <w:tcBorders>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-2,63</w:t>
            </w:r>
          </w:p>
        </w:tc>
        <w:tc>
          <w:tcPr>
            <w:tcW w:w="1750" w:type="dxa"/>
            <w:tcBorders>
              <w:left w:val="nil"/>
              <w:bottom w:val="nil"/>
              <w:right w:val="nil"/>
              <w:insideH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c>
          <w:tcPr>
            <w:tcW w:w="1750" w:type="dxa"/>
            <w:tcBorders>
              <w:left w:val="nil"/>
              <w:bottom w:val="nil"/>
              <w:right w:val="nil"/>
              <w:insideH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c>
          <w:tcPr>
            <w:tcW w:w="1752" w:type="dxa"/>
            <w:tcBorders>
              <w:left w:val="nil"/>
              <w:bottom w:val="nil"/>
              <w:right w:val="nil"/>
              <w:insideH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r>
      <w:tr>
        <w:trPr>
          <w:trHeight w:val="284" w:hRule="exact"/>
        </w:trPr>
        <w:tc>
          <w:tcPr>
            <w:tcW w:w="1645"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2,00</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-1,97</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-2,8</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c>
          <w:tcPr>
            <w:tcW w:w="1752" w:type="dxa"/>
            <w:tcBorders>
              <w:top w:val="nil"/>
              <w:left w:val="nil"/>
              <w:bottom w:val="nil"/>
              <w:right w:val="nil"/>
              <w:insideH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r>
      <w:tr>
        <w:trPr>
          <w:trHeight w:val="284" w:hRule="exact"/>
        </w:trPr>
        <w:tc>
          <w:tcPr>
            <w:tcW w:w="1645"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2,20</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-1,33</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-2,15</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-2,49</w:t>
            </w:r>
          </w:p>
        </w:tc>
        <w:tc>
          <w:tcPr>
            <w:tcW w:w="1752" w:type="dxa"/>
            <w:tcBorders>
              <w:top w:val="nil"/>
              <w:left w:val="nil"/>
              <w:bottom w:val="nil"/>
              <w:right w:val="nil"/>
              <w:insideH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r>
      <w:tr>
        <w:trPr>
          <w:trHeight w:val="284" w:hRule="exact"/>
        </w:trPr>
        <w:tc>
          <w:tcPr>
            <w:tcW w:w="1645"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2,40</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-0,77</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-1,48</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-1,76</w:t>
            </w:r>
          </w:p>
        </w:tc>
        <w:tc>
          <w:tcPr>
            <w:tcW w:w="1752"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-2,05</w:t>
            </w:r>
          </w:p>
        </w:tc>
      </w:tr>
      <w:tr>
        <w:trPr>
          <w:trHeight w:val="284" w:hRule="exact"/>
        </w:trPr>
        <w:tc>
          <w:tcPr>
            <w:tcW w:w="1645"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2,60</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-0,89</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-1,13</w:t>
            </w:r>
          </w:p>
        </w:tc>
        <w:tc>
          <w:tcPr>
            <w:tcW w:w="1752"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-1,35</w:t>
            </w:r>
          </w:p>
        </w:tc>
      </w:tr>
      <w:tr>
        <w:trPr>
          <w:trHeight w:val="284" w:hRule="exact"/>
        </w:trPr>
        <w:tc>
          <w:tcPr>
            <w:tcW w:w="1645"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2,80</w:t>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c>
          <w:tcPr>
            <w:tcW w:w="1750"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-0,53</w:t>
            </w:r>
          </w:p>
        </w:tc>
        <w:tc>
          <w:tcPr>
            <w:tcW w:w="1752" w:type="dxa"/>
            <w:tcBorders>
              <w:top w:val="nil"/>
              <w:left w:val="nil"/>
              <w:bottom w:val="nil"/>
              <w:right w:val="nil"/>
              <w:insideH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-0,73</w:t>
            </w:r>
          </w:p>
        </w:tc>
      </w:tr>
      <w:tr>
        <w:trPr>
          <w:trHeight w:val="284" w:hRule="exact"/>
        </w:trPr>
        <w:tc>
          <w:tcPr>
            <w:tcW w:w="1645" w:type="dxa"/>
            <w:tcBorders>
              <w:top w:val="nil"/>
              <w:left w:val="nil"/>
              <w:right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3,00</w:t>
            </w:r>
          </w:p>
        </w:tc>
        <w:tc>
          <w:tcPr>
            <w:tcW w:w="1750" w:type="dxa"/>
            <w:tcBorders>
              <w:top w:val="nil"/>
              <w:left w:val="nil"/>
              <w:right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c>
          <w:tcPr>
            <w:tcW w:w="1750" w:type="dxa"/>
            <w:tcBorders>
              <w:top w:val="nil"/>
              <w:left w:val="nil"/>
              <w:right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c>
          <w:tcPr>
            <w:tcW w:w="1750" w:type="dxa"/>
            <w:tcBorders>
              <w:top w:val="nil"/>
              <w:left w:val="nil"/>
              <w:right w:val="nil"/>
              <w:insideV w:val="nil"/>
            </w:tcBorders>
            <w:shd w:fill="auto" w:val="clear"/>
          </w:tcPr>
          <w:p>
            <w:pPr>
              <w:pStyle w:val="Normal"/>
              <w:spacing w:lineRule="auto" w:line="360" w:before="0" w:after="0"/>
              <w:ind w:right="61" w:hanging="0"/>
              <w:jc w:val="center"/>
              <w:rPr>
                <w:rFonts w:ascii="Times New Roman" w:hAnsi="Times New Roman" w:eastAsia="SimSun" w:cs="Times New Roman"/>
                <w:color w:val="121412"/>
                <w:sz w:val="20"/>
                <w:szCs w:val="20"/>
                <w:lang w:eastAsia="pt-BR"/>
              </w:rPr>
            </w:pPr>
            <w:r>
              <w:rPr>
                <w:rFonts w:eastAsia="SimSun" w:cs="Times New Roman" w:ascii="Times New Roman" w:hAnsi="Times New Roman"/>
                <w:color w:val="121412"/>
                <w:sz w:val="20"/>
                <w:szCs w:val="20"/>
                <w:lang w:eastAsia="pt-BR"/>
              </w:rPr>
            </w:r>
          </w:p>
        </w:tc>
        <w:tc>
          <w:tcPr>
            <w:tcW w:w="1752" w:type="dxa"/>
            <w:tcBorders>
              <w:top w:val="nil"/>
              <w:left w:val="nil"/>
              <w:right w:val="nil"/>
              <w:insideV w:val="nil"/>
            </w:tcBorders>
            <w:shd w:fill="auto" w:val="clear"/>
          </w:tcPr>
          <w:p>
            <w:pPr>
              <w:pStyle w:val="Normal"/>
              <w:spacing w:lineRule="auto" w:line="360" w:before="0" w:after="0"/>
              <w:ind w:right="61" w:hanging="0"/>
              <w:jc w:val="center"/>
              <w:rPr>
                <w:color w:val="121412"/>
              </w:rPr>
            </w:pPr>
            <w:r>
              <w:rPr>
                <w:rFonts w:eastAsia="SimSun" w:cs="Times New Roman" w:ascii="Times New Roman" w:hAnsi="Times New Roman"/>
                <w:color w:val="121412"/>
                <w:sz w:val="20"/>
                <w:szCs w:val="20"/>
                <w:lang w:eastAsia="pt-BR"/>
              </w:rPr>
              <w:t>-0,2</w:t>
            </w:r>
          </w:p>
        </w:tc>
      </w:tr>
    </w:tbl>
    <w:p>
      <w:pPr>
        <w:pStyle w:val="Normal"/>
        <w:spacing w:lineRule="auto" w:line="360" w:before="0" w:after="0"/>
        <w:jc w:val="both"/>
        <w:rPr>
          <w:rFonts w:ascii="Times New Roman" w:hAnsi="Times New Roman" w:cs="Times New Roman"/>
          <w:color w:val="121412"/>
          <w:sz w:val="20"/>
          <w:szCs w:val="24"/>
        </w:rPr>
      </w:pPr>
      <w:r>
        <w:rPr>
          <w:rFonts w:cs="Times New Roman" w:ascii="Times New Roman" w:hAnsi="Times New Roman"/>
          <w:color w:val="121412"/>
          <w:sz w:val="20"/>
          <w:szCs w:val="24"/>
        </w:rPr>
        <w:t>Fonte: elaborado pelo autor.</w:t>
      </w:r>
    </w:p>
    <w:p>
      <w:pPr>
        <w:pStyle w:val="Normal"/>
        <w:spacing w:lineRule="auto" w:line="360" w:before="0" w:after="0"/>
        <w:ind w:right="61" w:hanging="0"/>
        <w:rPr>
          <w:rFonts w:ascii="Times New Roman" w:hAnsi="Times New Roman" w:cs="Times New Roman"/>
          <w:w w:val="105"/>
          <w:sz w:val="24"/>
          <w:szCs w:val="24"/>
        </w:rPr>
      </w:pPr>
      <w:r>
        <w:rPr>
          <w:rFonts w:cs="Times New Roman" w:ascii="Times New Roman" w:hAnsi="Times New Roman"/>
          <w:w w:val="105"/>
          <w:sz w:val="24"/>
          <w:szCs w:val="24"/>
        </w:rPr>
      </w:r>
    </w:p>
    <w:p>
      <w:pPr>
        <w:pStyle w:val="Normal"/>
        <w:spacing w:lineRule="auto" w:line="360" w:before="0" w:after="0"/>
        <w:ind w:right="61" w:firstLine="1134"/>
        <w:rPr>
          <w:rFonts w:ascii="Times New Roman" w:hAnsi="Times New Roman" w:cs="Times New Roman"/>
          <w:w w:val="105"/>
          <w:sz w:val="24"/>
          <w:szCs w:val="24"/>
        </w:rPr>
      </w:pPr>
      <w:r>
        <w:rPr>
          <w:rFonts w:cs="Times New Roman" w:ascii="Times New Roman" w:hAnsi="Times New Roman"/>
          <w:w w:val="105"/>
          <w:sz w:val="24"/>
          <w:szCs w:val="24"/>
        </w:rPr>
        <w:t>A figura 43 mostra o diagrama log[-ln(1-X)] vs log t dos pós fluxantes A, B e D.</w:t>
      </w:r>
    </w:p>
    <w:p>
      <w:pPr>
        <w:pStyle w:val="Normal"/>
        <w:spacing w:lineRule="auto" w:line="360" w:before="0" w:after="0"/>
        <w:ind w:right="61" w:hanging="0"/>
        <w:rPr>
          <w:rFonts w:ascii="Times New Roman" w:hAnsi="Times New Roman" w:cs="Times New Roman"/>
          <w:w w:val="105"/>
          <w:sz w:val="24"/>
          <w:szCs w:val="24"/>
        </w:rPr>
      </w:pPr>
      <w:r>
        <w:rPr>
          <w:rFonts w:cs="Times New Roman" w:ascii="Times New Roman" w:hAnsi="Times New Roman"/>
          <w:w w:val="105"/>
          <w:sz w:val="24"/>
          <w:szCs w:val="24"/>
        </w:rPr>
        <w:t xml:space="preserve">Figura 43 - Diagrama de </w:t>
      </w:r>
      <w:r>
        <w:rPr>
          <w:rFonts w:cs="Times New Roman" w:ascii="Times New Roman" w:hAnsi="Times New Roman"/>
          <w:b/>
          <w:i/>
          <w:w w:val="105"/>
          <w:sz w:val="24"/>
          <w:szCs w:val="24"/>
        </w:rPr>
        <w:t>log[-ln(1-X)]</w:t>
      </w:r>
      <w:r>
        <w:rPr>
          <w:rFonts w:cs="Times New Roman" w:ascii="Times New Roman" w:hAnsi="Times New Roman"/>
          <w:w w:val="105"/>
          <w:sz w:val="24"/>
          <w:szCs w:val="24"/>
        </w:rPr>
        <w:t xml:space="preserve"> vs log </w:t>
      </w:r>
      <w:r>
        <w:rPr>
          <w:rFonts w:cs="Times New Roman" w:ascii="Times New Roman" w:hAnsi="Times New Roman"/>
          <w:b/>
          <w:i/>
          <w:w w:val="105"/>
          <w:sz w:val="24"/>
          <w:szCs w:val="24"/>
        </w:rPr>
        <w:t>t</w:t>
      </w:r>
      <w:r>
        <w:rPr>
          <w:rFonts w:cs="Times New Roman" w:ascii="Times New Roman" w:hAnsi="Times New Roman"/>
          <w:w w:val="105"/>
          <w:sz w:val="24"/>
          <w:szCs w:val="24"/>
        </w:rPr>
        <w:t xml:space="preserve"> (segundos).</w:t>
      </w:r>
      <w:bookmarkStart w:id="162" w:name="_Hlk156895378"/>
      <w:bookmarkEnd w:id="162"/>
    </w:p>
    <w:p>
      <w:pPr>
        <w:pStyle w:val="Corpodetexto"/>
        <w:spacing w:lineRule="auto" w:line="360" w:before="0" w:after="0"/>
        <w:jc w:val="center"/>
        <w:rPr>
          <w:rFonts w:ascii="Times New Roman" w:hAnsi="Times New Roman" w:cs="Times New Roman"/>
          <w:color w:val="121412"/>
          <w:sz w:val="20"/>
          <w:szCs w:val="20"/>
        </w:rPr>
      </w:pPr>
      <w:r>
        <w:rPr/>
        <w:drawing>
          <wp:inline distT="0" distB="6350" distL="0" distR="8255">
            <wp:extent cx="5573395" cy="1727200"/>
            <wp:effectExtent l="0" t="0" r="0" b="0"/>
            <wp:docPr id="51" name="Imagem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71" descr=""/>
                    <pic:cNvPicPr>
                      <a:picLocks noChangeAspect="1" noChangeArrowheads="1"/>
                    </pic:cNvPicPr>
                  </pic:nvPicPr>
                  <pic:blipFill>
                    <a:blip r:embed="rId50"/>
                    <a:srcRect l="650" t="27898" r="3002" b="20570"/>
                    <a:stretch>
                      <a:fillRect/>
                    </a:stretch>
                  </pic:blipFill>
                  <pic:spPr bwMode="auto">
                    <a:xfrm>
                      <a:off x="0" y="0"/>
                      <a:ext cx="5573395" cy="1727200"/>
                    </a:xfrm>
                    <a:prstGeom prst="rect">
                      <a:avLst/>
                    </a:prstGeom>
                  </pic:spPr>
                </pic:pic>
              </a:graphicData>
            </a:graphic>
          </wp:inline>
        </w:drawing>
      </w:r>
    </w:p>
    <w:p>
      <w:pPr>
        <w:pStyle w:val="Corpodetexto"/>
        <w:spacing w:lineRule="auto" w:line="240" w:before="0" w:after="0"/>
        <w:ind w:left="284" w:hanging="0"/>
        <w:rPr>
          <w:rFonts w:ascii="Times New Roman" w:hAnsi="Times New Roman" w:cs="Times New Roman"/>
          <w:sz w:val="20"/>
          <w:szCs w:val="20"/>
        </w:rPr>
      </w:pPr>
      <w:r>
        <w:rPr>
          <w:rFonts w:cs="Times New Roman" w:ascii="Times New Roman" w:hAnsi="Times New Roman"/>
          <w:color w:val="121412"/>
          <w:sz w:val="20"/>
          <w:szCs w:val="20"/>
        </w:rPr>
        <w:t xml:space="preserve">Fonte: Fluxante - A, AUTOR (2024); Fluxantes B e D - </w:t>
      </w:r>
      <w:r>
        <w:rPr>
          <w:rFonts w:cs="Times New Roman" w:ascii="Times New Roman" w:hAnsi="Times New Roman"/>
          <w:w w:val="105"/>
          <w:sz w:val="20"/>
          <w:szCs w:val="20"/>
        </w:rPr>
        <w:t>MYUNG-DUK</w:t>
      </w:r>
      <w:r>
        <w:rPr>
          <w:rFonts w:cs="Times New Roman" w:ascii="Times New Roman" w:hAnsi="Times New Roman"/>
          <w:spacing w:val="-9"/>
          <w:w w:val="105"/>
          <w:sz w:val="20"/>
          <w:szCs w:val="20"/>
        </w:rPr>
        <w:t xml:space="preserve"> </w:t>
      </w:r>
      <w:r>
        <w:rPr>
          <w:rFonts w:cs="Times New Roman" w:ascii="Times New Roman" w:hAnsi="Times New Roman"/>
          <w:w w:val="105"/>
          <w:sz w:val="20"/>
          <w:szCs w:val="20"/>
        </w:rPr>
        <w:t>SEO et. al. (2015).</w:t>
      </w:r>
    </w:p>
    <w:p>
      <w:pPr>
        <w:pStyle w:val="Normal"/>
        <w:spacing w:lineRule="auto" w:line="324" w:before="0" w:after="0"/>
        <w:ind w:right="61" w:firstLine="1134"/>
        <w:jc w:val="both"/>
        <w:rPr/>
      </w:pPr>
      <w:r>
        <w:rPr/>
      </w:r>
      <w:bookmarkStart w:id="163" w:name="_Hlk150626020"/>
      <w:bookmarkStart w:id="164" w:name="_Hlk150626020"/>
      <w:bookmarkEnd w:id="164"/>
    </w:p>
    <w:p>
      <w:pPr>
        <w:pStyle w:val="Normal"/>
        <w:spacing w:lineRule="auto" w:line="324" w:before="0" w:after="0"/>
        <w:ind w:right="61" w:firstLine="1134"/>
        <w:jc w:val="both"/>
        <w:rPr>
          <w:rFonts w:ascii="Times New Roman" w:hAnsi="Times New Roman" w:cs="Times New Roman"/>
          <w:w w:val="105"/>
          <w:sz w:val="24"/>
          <w:szCs w:val="24"/>
        </w:rPr>
      </w:pPr>
      <w:r>
        <w:rPr>
          <w:rFonts w:cs="Times New Roman" w:ascii="Times New Roman" w:hAnsi="Times New Roman"/>
          <w:w w:val="105"/>
          <w:sz w:val="24"/>
          <w:szCs w:val="24"/>
        </w:rPr>
        <w:t xml:space="preserve">Comparando as equações das retas, do gráfico log[-ln(1-X)] vs log (t), das isotermas do pó fluxante A, com a equação de Avrami ajustada (y = n log t + log k), chegamos ao valor de </w:t>
      </w:r>
      <w:r>
        <w:rPr>
          <w:rFonts w:cs="Times New Roman" w:ascii="Times New Roman" w:hAnsi="Times New Roman"/>
          <w:b/>
          <w:i/>
          <w:w w:val="105"/>
          <w:sz w:val="24"/>
          <w:szCs w:val="24"/>
        </w:rPr>
        <w:t>k</w:t>
      </w:r>
      <w:r>
        <w:rPr>
          <w:rFonts w:cs="Times New Roman" w:ascii="Times New Roman" w:hAnsi="Times New Roman"/>
          <w:w w:val="105"/>
          <w:sz w:val="24"/>
          <w:szCs w:val="24"/>
        </w:rPr>
        <w:t xml:space="preserve">, conforme ilustra a tabela 5.  </w:t>
      </w:r>
    </w:p>
    <w:p>
      <w:pPr>
        <w:pStyle w:val="Normal"/>
        <w:spacing w:lineRule="auto" w:line="324" w:before="0" w:after="0"/>
        <w:ind w:left="709" w:right="61" w:hanging="0"/>
        <w:jc w:val="both"/>
        <w:rPr>
          <w:rFonts w:ascii="Times New Roman" w:hAnsi="Times New Roman" w:cs="Times New Roman"/>
          <w:w w:val="105"/>
          <w:sz w:val="24"/>
          <w:szCs w:val="24"/>
        </w:rPr>
      </w:pPr>
      <w:r>
        <w:rPr>
          <w:rFonts w:cs="Times New Roman" w:ascii="Times New Roman" w:hAnsi="Times New Roman"/>
          <w:w w:val="105"/>
          <w:sz w:val="24"/>
          <w:szCs w:val="24"/>
        </w:rPr>
      </w:r>
    </w:p>
    <w:p>
      <w:pPr>
        <w:pStyle w:val="Normal"/>
        <w:spacing w:lineRule="auto" w:line="324" w:before="0" w:after="0"/>
        <w:ind w:left="284" w:right="61" w:hanging="0"/>
        <w:jc w:val="both"/>
        <w:rPr>
          <w:rFonts w:ascii="Times New Roman" w:hAnsi="Times New Roman" w:cs="Times New Roman"/>
          <w:w w:val="105"/>
          <w:sz w:val="24"/>
          <w:szCs w:val="24"/>
        </w:rPr>
      </w:pPr>
      <w:r>
        <w:rPr>
          <w:rFonts w:cs="Times New Roman" w:ascii="Times New Roman" w:hAnsi="Times New Roman"/>
          <w:w w:val="105"/>
          <w:sz w:val="24"/>
          <w:szCs w:val="24"/>
        </w:rPr>
        <w:t xml:space="preserve">Tabela 5 - Valores de </w:t>
      </w:r>
      <w:r>
        <w:rPr>
          <w:rFonts w:cs="Times New Roman" w:ascii="Times New Roman" w:hAnsi="Times New Roman"/>
          <w:b/>
          <w:i/>
          <w:w w:val="105"/>
          <w:sz w:val="24"/>
          <w:szCs w:val="24"/>
        </w:rPr>
        <w:t>k</w:t>
      </w:r>
      <w:r>
        <w:rPr>
          <w:rFonts w:cs="Times New Roman" w:ascii="Times New Roman" w:hAnsi="Times New Roman"/>
          <w:w w:val="105"/>
          <w:sz w:val="24"/>
          <w:szCs w:val="24"/>
        </w:rPr>
        <w:t xml:space="preserve"> do pó fluxante A.</w:t>
      </w:r>
      <w:bookmarkStart w:id="165" w:name="_Hlk156897341"/>
      <w:bookmarkEnd w:id="165"/>
    </w:p>
    <w:tbl>
      <w:tblPr>
        <w:tblStyle w:val="Tabelacomgrade"/>
        <w:tblW w:w="8070" w:type="dxa"/>
        <w:jc w:val="center"/>
        <w:tblInd w:w="0" w:type="dxa"/>
        <w:tblCellMar>
          <w:top w:w="0" w:type="dxa"/>
          <w:left w:w="108" w:type="dxa"/>
          <w:bottom w:w="0" w:type="dxa"/>
          <w:right w:w="108" w:type="dxa"/>
        </w:tblCellMar>
        <w:tblLook w:noVBand="1" w:val="04a0" w:noHBand="0" w:lastColumn="0" w:firstColumn="1" w:lastRow="0" w:firstRow="1"/>
      </w:tblPr>
      <w:tblGrid>
        <w:gridCol w:w="1837"/>
        <w:gridCol w:w="1984"/>
        <w:gridCol w:w="855"/>
        <w:gridCol w:w="993"/>
        <w:gridCol w:w="1276"/>
        <w:gridCol w:w="1124"/>
      </w:tblGrid>
      <w:tr>
        <w:trPr>
          <w:trHeight w:val="284" w:hRule="exact"/>
        </w:trPr>
        <w:tc>
          <w:tcPr>
            <w:tcW w:w="1837" w:type="dxa"/>
            <w:tcBorders>
              <w:left w:val="nil"/>
              <w:right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Temperatura</w:t>
            </w:r>
          </w:p>
        </w:tc>
        <w:tc>
          <w:tcPr>
            <w:tcW w:w="1984" w:type="dxa"/>
            <w:tcBorders>
              <w:left w:val="nil"/>
              <w:right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y = n Log t + Log k</w:t>
            </w:r>
          </w:p>
        </w:tc>
        <w:tc>
          <w:tcPr>
            <w:tcW w:w="855" w:type="dxa"/>
            <w:tcBorders>
              <w:left w:val="nil"/>
              <w:right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R²</w:t>
            </w:r>
          </w:p>
        </w:tc>
        <w:tc>
          <w:tcPr>
            <w:tcW w:w="993" w:type="dxa"/>
            <w:tcBorders>
              <w:left w:val="nil"/>
              <w:right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log k</w:t>
            </w:r>
          </w:p>
        </w:tc>
        <w:tc>
          <w:tcPr>
            <w:tcW w:w="1276" w:type="dxa"/>
            <w:tcBorders>
              <w:left w:val="nil"/>
              <w:right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k</w:t>
            </w:r>
          </w:p>
        </w:tc>
        <w:tc>
          <w:tcPr>
            <w:tcW w:w="1124" w:type="dxa"/>
            <w:tcBorders>
              <w:left w:val="nil"/>
              <w:right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w w:val="105"/>
                <w:sz w:val="20"/>
                <w:szCs w:val="24"/>
                <w:lang w:eastAsia="pt-BR"/>
              </w:rPr>
              <w:t>n</w:t>
            </w:r>
          </w:p>
        </w:tc>
      </w:tr>
      <w:tr>
        <w:trPr>
          <w:trHeight w:val="284" w:hRule="exact"/>
        </w:trPr>
        <w:tc>
          <w:tcPr>
            <w:tcW w:w="1837" w:type="dxa"/>
            <w:tcBorders>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Isoterma 1020°C</w:t>
            </w:r>
          </w:p>
        </w:tc>
        <w:tc>
          <w:tcPr>
            <w:tcW w:w="1984" w:type="dxa"/>
            <w:tcBorders>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y = 3,11x - 8,206</w:t>
            </w:r>
          </w:p>
        </w:tc>
        <w:tc>
          <w:tcPr>
            <w:tcW w:w="855" w:type="dxa"/>
            <w:tcBorders>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0,9986</w:t>
            </w:r>
          </w:p>
        </w:tc>
        <w:tc>
          <w:tcPr>
            <w:tcW w:w="993" w:type="dxa"/>
            <w:tcBorders>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-8,206</w:t>
            </w:r>
          </w:p>
        </w:tc>
        <w:tc>
          <w:tcPr>
            <w:tcW w:w="1276" w:type="dxa"/>
            <w:tcBorders>
              <w:left w:val="nil"/>
              <w:bottom w:val="nil"/>
              <w:right w:val="nil"/>
              <w:insideH w:val="nil"/>
              <w:insideV w:val="nil"/>
            </w:tcBorders>
            <w:shd w:fill="auto" w:val="clear"/>
          </w:tcPr>
          <w:p>
            <w:pPr>
              <w:pStyle w:val="Normal"/>
              <w:spacing w:lineRule="auto" w:line="324" w:before="0" w:after="0"/>
              <w:ind w:right="61" w:hanging="0"/>
              <w:jc w:val="center"/>
              <w:rPr>
                <w:w w:val="105"/>
                <w:szCs w:val="24"/>
              </w:rPr>
            </w:pPr>
            <w:r>
              <w:rPr>
                <w:rFonts w:eastAsia="SimSun" w:cs="Times New Roman" w:ascii="Times New Roman" w:hAnsi="Times New Roman"/>
                <w:sz w:val="20"/>
                <w:szCs w:val="20"/>
                <w:lang w:eastAsia="pt-BR"/>
              </w:rPr>
              <w:t>6,22 x 10</w:t>
            </w:r>
            <w:r>
              <w:rPr>
                <w:rFonts w:eastAsia="SimSun" w:cs="Times New Roman" w:ascii="Times New Roman" w:hAnsi="Times New Roman"/>
                <w:sz w:val="20"/>
                <w:szCs w:val="20"/>
                <w:vertAlign w:val="superscript"/>
                <w:lang w:eastAsia="pt-BR"/>
              </w:rPr>
              <w:t>-9</w:t>
            </w:r>
          </w:p>
        </w:tc>
        <w:tc>
          <w:tcPr>
            <w:tcW w:w="1124" w:type="dxa"/>
            <w:tcBorders>
              <w:left w:val="nil"/>
              <w:bottom w:val="nil"/>
              <w:right w:val="nil"/>
              <w:insideH w:val="nil"/>
              <w:insideV w:val="nil"/>
            </w:tcBorders>
            <w:shd w:fill="auto" w:val="clear"/>
          </w:tcPr>
          <w:p>
            <w:pPr>
              <w:pStyle w:val="Normal"/>
              <w:spacing w:lineRule="auto" w:line="324" w:before="0" w:after="0"/>
              <w:ind w:right="61" w:hanging="0"/>
              <w:jc w:val="center"/>
              <w:rPr>
                <w:w w:val="105"/>
                <w:szCs w:val="24"/>
              </w:rPr>
            </w:pPr>
            <w:r>
              <w:rPr>
                <w:rFonts w:eastAsia="SimSun" w:cs="Times New Roman" w:ascii="Times New Roman" w:hAnsi="Times New Roman"/>
                <w:sz w:val="20"/>
                <w:szCs w:val="20"/>
                <w:lang w:eastAsia="pt-BR"/>
              </w:rPr>
              <w:t>3,10</w:t>
            </w:r>
          </w:p>
        </w:tc>
      </w:tr>
      <w:tr>
        <w:trPr>
          <w:trHeight w:val="284" w:hRule="exact"/>
        </w:trPr>
        <w:tc>
          <w:tcPr>
            <w:tcW w:w="1837" w:type="dxa"/>
            <w:tcBorders>
              <w:top w:val="nil"/>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Isoterma 1030°C</w:t>
            </w:r>
          </w:p>
        </w:tc>
        <w:tc>
          <w:tcPr>
            <w:tcW w:w="1984" w:type="dxa"/>
            <w:tcBorders>
              <w:top w:val="nil"/>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y = 3,2x - 9,19</w:t>
            </w:r>
          </w:p>
        </w:tc>
        <w:tc>
          <w:tcPr>
            <w:tcW w:w="855" w:type="dxa"/>
            <w:tcBorders>
              <w:top w:val="nil"/>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0,9993</w:t>
            </w:r>
          </w:p>
        </w:tc>
        <w:tc>
          <w:tcPr>
            <w:tcW w:w="993" w:type="dxa"/>
            <w:tcBorders>
              <w:top w:val="nil"/>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-9,190</w:t>
            </w:r>
          </w:p>
        </w:tc>
        <w:tc>
          <w:tcPr>
            <w:tcW w:w="1276"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szCs w:val="24"/>
              </w:rPr>
            </w:pPr>
            <w:r>
              <w:rPr>
                <w:rFonts w:eastAsia="SimSun" w:cs="Times New Roman" w:ascii="Times New Roman" w:hAnsi="Times New Roman"/>
                <w:sz w:val="20"/>
                <w:szCs w:val="20"/>
                <w:lang w:eastAsia="pt-BR"/>
              </w:rPr>
              <w:t>6,46 x 10</w:t>
            </w:r>
            <w:r>
              <w:rPr>
                <w:rFonts w:eastAsia="SimSun" w:cs="Times New Roman" w:ascii="Times New Roman" w:hAnsi="Times New Roman"/>
                <w:sz w:val="20"/>
                <w:szCs w:val="20"/>
                <w:vertAlign w:val="superscript"/>
                <w:lang w:eastAsia="pt-BR"/>
              </w:rPr>
              <w:t>-10</w:t>
            </w:r>
          </w:p>
        </w:tc>
        <w:tc>
          <w:tcPr>
            <w:tcW w:w="1124"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szCs w:val="24"/>
              </w:rPr>
            </w:pPr>
            <w:r>
              <w:rPr>
                <w:rFonts w:eastAsia="SimSun" w:cs="Times New Roman" w:ascii="Times New Roman" w:hAnsi="Times New Roman"/>
                <w:sz w:val="20"/>
                <w:szCs w:val="20"/>
                <w:lang w:eastAsia="pt-BR"/>
              </w:rPr>
              <w:t>3,18</w:t>
            </w:r>
          </w:p>
        </w:tc>
      </w:tr>
      <w:tr>
        <w:trPr>
          <w:trHeight w:val="284" w:hRule="exact"/>
        </w:trPr>
        <w:tc>
          <w:tcPr>
            <w:tcW w:w="1837" w:type="dxa"/>
            <w:tcBorders>
              <w:top w:val="nil"/>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Isoterma 1040°C</w:t>
            </w:r>
          </w:p>
        </w:tc>
        <w:tc>
          <w:tcPr>
            <w:tcW w:w="1984" w:type="dxa"/>
            <w:tcBorders>
              <w:top w:val="nil"/>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y = 3,255x - 9,615</w:t>
            </w:r>
          </w:p>
        </w:tc>
        <w:tc>
          <w:tcPr>
            <w:tcW w:w="855" w:type="dxa"/>
            <w:tcBorders>
              <w:top w:val="nil"/>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0,9979</w:t>
            </w:r>
          </w:p>
        </w:tc>
        <w:tc>
          <w:tcPr>
            <w:tcW w:w="993" w:type="dxa"/>
            <w:tcBorders>
              <w:top w:val="nil"/>
              <w:left w:val="nil"/>
              <w:bottom w:val="nil"/>
              <w:right w:val="nil"/>
              <w:insideH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-9,615</w:t>
            </w:r>
          </w:p>
        </w:tc>
        <w:tc>
          <w:tcPr>
            <w:tcW w:w="1276"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szCs w:val="24"/>
              </w:rPr>
            </w:pPr>
            <w:r>
              <w:rPr>
                <w:rFonts w:eastAsia="SimSun" w:cs="Times New Roman" w:ascii="Times New Roman" w:hAnsi="Times New Roman"/>
                <w:sz w:val="20"/>
                <w:szCs w:val="20"/>
                <w:lang w:eastAsia="pt-BR"/>
              </w:rPr>
              <w:t>2,43 x 10</w:t>
            </w:r>
            <w:r>
              <w:rPr>
                <w:rFonts w:eastAsia="SimSun" w:cs="Times New Roman" w:ascii="Times New Roman" w:hAnsi="Times New Roman"/>
                <w:sz w:val="20"/>
                <w:szCs w:val="20"/>
                <w:vertAlign w:val="superscript"/>
                <w:lang w:eastAsia="pt-BR"/>
              </w:rPr>
              <w:t>-10</w:t>
            </w:r>
          </w:p>
        </w:tc>
        <w:tc>
          <w:tcPr>
            <w:tcW w:w="1124"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szCs w:val="24"/>
              </w:rPr>
            </w:pPr>
            <w:r>
              <w:rPr>
                <w:rFonts w:eastAsia="SimSun" w:cs="Times New Roman" w:ascii="Times New Roman" w:hAnsi="Times New Roman"/>
                <w:sz w:val="20"/>
                <w:szCs w:val="20"/>
                <w:lang w:eastAsia="pt-BR"/>
              </w:rPr>
              <w:t>3,27</w:t>
            </w:r>
          </w:p>
        </w:tc>
      </w:tr>
      <w:tr>
        <w:trPr>
          <w:trHeight w:val="284" w:hRule="exact"/>
        </w:trPr>
        <w:tc>
          <w:tcPr>
            <w:tcW w:w="1837" w:type="dxa"/>
            <w:tcBorders>
              <w:top w:val="nil"/>
              <w:left w:val="nil"/>
              <w:right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Isoterma 1050°C</w:t>
            </w:r>
          </w:p>
        </w:tc>
        <w:tc>
          <w:tcPr>
            <w:tcW w:w="1984" w:type="dxa"/>
            <w:tcBorders>
              <w:top w:val="nil"/>
              <w:left w:val="nil"/>
              <w:right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y = 3,085x - 9,412</w:t>
            </w:r>
          </w:p>
        </w:tc>
        <w:tc>
          <w:tcPr>
            <w:tcW w:w="855" w:type="dxa"/>
            <w:tcBorders>
              <w:top w:val="nil"/>
              <w:left w:val="nil"/>
              <w:right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0,9962</w:t>
            </w:r>
          </w:p>
        </w:tc>
        <w:tc>
          <w:tcPr>
            <w:tcW w:w="993" w:type="dxa"/>
            <w:tcBorders>
              <w:top w:val="nil"/>
              <w:left w:val="nil"/>
              <w:right w:val="nil"/>
              <w:insideV w:val="nil"/>
            </w:tcBorders>
            <w:shd w:fill="auto" w:val="clear"/>
            <w:vAlign w:val="center"/>
          </w:tcPr>
          <w:p>
            <w:pPr>
              <w:pStyle w:val="Normal"/>
              <w:spacing w:lineRule="auto" w:line="324" w:before="0" w:after="0"/>
              <w:ind w:right="61" w:hanging="0"/>
              <w:jc w:val="center"/>
              <w:rPr>
                <w:w w:val="105"/>
                <w:szCs w:val="24"/>
              </w:rPr>
            </w:pPr>
            <w:r>
              <w:rPr>
                <w:rFonts w:eastAsia="SimSun" w:cs="Times New Roman" w:ascii="Times New Roman" w:hAnsi="Times New Roman"/>
                <w:color w:val="000000"/>
                <w:sz w:val="20"/>
                <w:szCs w:val="24"/>
                <w:lang w:eastAsia="pt-BR"/>
              </w:rPr>
              <w:t>-10,412</w:t>
            </w:r>
          </w:p>
        </w:tc>
        <w:tc>
          <w:tcPr>
            <w:tcW w:w="1276" w:type="dxa"/>
            <w:tcBorders>
              <w:top w:val="nil"/>
              <w:left w:val="nil"/>
              <w:right w:val="nil"/>
              <w:insideV w:val="nil"/>
            </w:tcBorders>
            <w:shd w:fill="auto" w:val="clear"/>
          </w:tcPr>
          <w:p>
            <w:pPr>
              <w:pStyle w:val="Normal"/>
              <w:spacing w:lineRule="auto" w:line="324" w:before="0" w:after="0"/>
              <w:ind w:right="61" w:hanging="0"/>
              <w:jc w:val="center"/>
              <w:rPr>
                <w:w w:val="105"/>
                <w:szCs w:val="24"/>
              </w:rPr>
            </w:pPr>
            <w:r>
              <w:rPr>
                <w:rFonts w:eastAsia="SimSun" w:cs="Times New Roman" w:ascii="Times New Roman" w:hAnsi="Times New Roman"/>
                <w:sz w:val="20"/>
                <w:szCs w:val="20"/>
                <w:lang w:eastAsia="pt-BR"/>
              </w:rPr>
              <w:t>3,87 x 10</w:t>
            </w:r>
            <w:r>
              <w:rPr>
                <w:rFonts w:eastAsia="SimSun" w:cs="Times New Roman" w:ascii="Times New Roman" w:hAnsi="Times New Roman"/>
                <w:sz w:val="20"/>
                <w:szCs w:val="20"/>
                <w:vertAlign w:val="superscript"/>
                <w:lang w:eastAsia="pt-BR"/>
              </w:rPr>
              <w:t>-11</w:t>
            </w:r>
          </w:p>
        </w:tc>
        <w:tc>
          <w:tcPr>
            <w:tcW w:w="1124" w:type="dxa"/>
            <w:tcBorders>
              <w:top w:val="nil"/>
              <w:left w:val="nil"/>
              <w:right w:val="nil"/>
              <w:insideV w:val="nil"/>
            </w:tcBorders>
            <w:shd w:fill="auto" w:val="clear"/>
          </w:tcPr>
          <w:p>
            <w:pPr>
              <w:pStyle w:val="Normal"/>
              <w:spacing w:lineRule="auto" w:line="324" w:before="0" w:after="0"/>
              <w:ind w:right="61" w:hanging="0"/>
              <w:jc w:val="center"/>
              <w:rPr>
                <w:w w:val="105"/>
                <w:szCs w:val="24"/>
              </w:rPr>
            </w:pPr>
            <w:r>
              <w:rPr>
                <w:rFonts w:eastAsia="SimSun" w:cs="Times New Roman" w:ascii="Times New Roman" w:hAnsi="Times New Roman"/>
                <w:sz w:val="20"/>
                <w:szCs w:val="20"/>
                <w:lang w:eastAsia="pt-BR"/>
              </w:rPr>
              <w:t>3,08</w:t>
            </w:r>
          </w:p>
        </w:tc>
      </w:tr>
    </w:tbl>
    <w:p>
      <w:pPr>
        <w:pStyle w:val="Normal"/>
        <w:spacing w:lineRule="auto" w:line="360" w:before="0" w:after="0"/>
        <w:ind w:left="284" w:hanging="0"/>
        <w:jc w:val="both"/>
        <w:rPr>
          <w:rFonts w:ascii="Times New Roman" w:hAnsi="Times New Roman" w:cs="Times New Roman"/>
          <w:color w:val="121412"/>
          <w:sz w:val="20"/>
          <w:szCs w:val="24"/>
        </w:rPr>
      </w:pPr>
      <w:r>
        <w:rPr>
          <w:rFonts w:cs="Times New Roman" w:ascii="Times New Roman" w:hAnsi="Times New Roman"/>
          <w:color w:val="121412"/>
          <w:sz w:val="20"/>
          <w:szCs w:val="24"/>
        </w:rPr>
        <w:t>Fonte: elaborado pelo autor.</w:t>
      </w:r>
    </w:p>
    <w:p>
      <w:pPr>
        <w:pStyle w:val="Normal"/>
        <w:spacing w:lineRule="auto" w:line="324" w:before="0" w:after="0"/>
        <w:ind w:right="61"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24" w:before="0" w:after="0"/>
        <w:ind w:right="61" w:firstLine="1134"/>
        <w:jc w:val="both"/>
        <w:rPr>
          <w:rFonts w:ascii="Times New Roman" w:hAnsi="Times New Roman" w:cs="Times New Roman"/>
          <w:sz w:val="24"/>
          <w:szCs w:val="24"/>
        </w:rPr>
      </w:pPr>
      <w:r>
        <w:rPr>
          <w:rFonts w:cs="Times New Roman" w:ascii="Times New Roman" w:hAnsi="Times New Roman"/>
          <w:sz w:val="24"/>
          <w:szCs w:val="24"/>
        </w:rPr>
        <w:t xml:space="preserve">A inclinação das </w:t>
      </w:r>
      <w:r>
        <w:rPr>
          <w:rFonts w:cs="Times New Roman" w:ascii="Times New Roman" w:hAnsi="Times New Roman"/>
          <w:w w:val="105"/>
          <w:sz w:val="24"/>
          <w:szCs w:val="24"/>
        </w:rPr>
        <w:t>retas, do gráfico log[-ln(1-X)] vs log (t), das isotermas dos pós fluxante A, indica</w:t>
      </w:r>
      <w:r>
        <w:rPr>
          <w:rFonts w:cs="Times New Roman" w:ascii="Times New Roman" w:hAnsi="Times New Roman"/>
          <w:sz w:val="24"/>
          <w:szCs w:val="24"/>
        </w:rPr>
        <w:t xml:space="preserve"> o valor do expoente de Avrami </w:t>
      </w:r>
      <w:r>
        <w:rPr>
          <w:rFonts w:cs="Times New Roman" w:ascii="Times New Roman" w:hAnsi="Times New Roman"/>
          <w:b/>
          <w:i/>
          <w:sz w:val="24"/>
          <w:szCs w:val="24"/>
        </w:rPr>
        <w:t>n</w:t>
      </w:r>
      <w:r>
        <w:rPr>
          <w:rFonts w:cs="Times New Roman" w:ascii="Times New Roman" w:hAnsi="Times New Roman"/>
          <w:sz w:val="24"/>
          <w:szCs w:val="24"/>
        </w:rPr>
        <w:t xml:space="preserve">. </w:t>
      </w:r>
    </w:p>
    <w:p>
      <w:pPr>
        <w:pStyle w:val="Normal"/>
        <w:spacing w:lineRule="auto" w:line="324" w:before="0" w:after="0"/>
        <w:ind w:right="61" w:firstLine="1134"/>
        <w:jc w:val="both"/>
        <w:rPr>
          <w:rFonts w:ascii="Times New Roman" w:hAnsi="Times New Roman" w:cs="Times New Roman"/>
          <w:sz w:val="24"/>
          <w:szCs w:val="24"/>
        </w:rPr>
      </w:pPr>
      <w:r>
        <w:rPr>
          <w:rFonts w:cs="Times New Roman" w:ascii="Times New Roman" w:hAnsi="Times New Roman"/>
          <w:sz w:val="24"/>
          <w:szCs w:val="24"/>
        </w:rPr>
        <w:t>Os valores</w:t>
      </w:r>
      <w:r>
        <w:rPr>
          <w:rFonts w:cs="Times New Roman" w:ascii="Times New Roman" w:hAnsi="Times New Roman"/>
          <w:spacing w:val="6"/>
          <w:sz w:val="24"/>
          <w:szCs w:val="24"/>
        </w:rPr>
        <w:t xml:space="preserve"> </w:t>
      </w:r>
      <w:r>
        <w:rPr>
          <w:rFonts w:cs="Times New Roman" w:ascii="Times New Roman" w:hAnsi="Times New Roman"/>
          <w:sz w:val="24"/>
          <w:szCs w:val="24"/>
        </w:rPr>
        <w:t xml:space="preserve">dos parâmetros </w:t>
      </w:r>
      <w:r>
        <w:rPr>
          <w:rFonts w:cs="Times New Roman" w:ascii="Times New Roman" w:hAnsi="Times New Roman"/>
          <w:b/>
          <w:i/>
          <w:sz w:val="24"/>
          <w:szCs w:val="24"/>
        </w:rPr>
        <w:t>n</w:t>
      </w:r>
      <w:r>
        <w:rPr>
          <w:rFonts w:cs="Times New Roman" w:ascii="Times New Roman" w:hAnsi="Times New Roman"/>
          <w:sz w:val="24"/>
          <w:szCs w:val="24"/>
        </w:rPr>
        <w:t xml:space="preserve"> e </w:t>
      </w:r>
      <w:r>
        <w:rPr>
          <w:rFonts w:cs="Times New Roman" w:ascii="Times New Roman" w:hAnsi="Times New Roman"/>
          <w:b/>
          <w:i/>
          <w:sz w:val="24"/>
          <w:szCs w:val="24"/>
        </w:rPr>
        <w:t>k</w:t>
      </w:r>
      <w:r>
        <w:rPr>
          <w:rFonts w:cs="Times New Roman" w:ascii="Times New Roman" w:hAnsi="Times New Roman"/>
          <w:sz w:val="24"/>
          <w:szCs w:val="24"/>
        </w:rPr>
        <w:t xml:space="preserve"> do pó fluxante A e os valores dos pós fluxantes B e D (</w:t>
      </w:r>
      <w:r>
        <w:rPr>
          <w:rFonts w:cs="Times New Roman" w:ascii="Times New Roman" w:hAnsi="Times New Roman"/>
          <w:w w:val="105"/>
          <w:sz w:val="24"/>
          <w:szCs w:val="24"/>
        </w:rPr>
        <w:t>MYUNG-DUK</w:t>
      </w:r>
      <w:r>
        <w:rPr>
          <w:rFonts w:cs="Times New Roman" w:ascii="Times New Roman" w:hAnsi="Times New Roman"/>
          <w:spacing w:val="-9"/>
          <w:w w:val="105"/>
          <w:sz w:val="24"/>
          <w:szCs w:val="24"/>
        </w:rPr>
        <w:t xml:space="preserve"> </w:t>
      </w:r>
      <w:r>
        <w:rPr>
          <w:rFonts w:cs="Times New Roman" w:ascii="Times New Roman" w:hAnsi="Times New Roman"/>
          <w:w w:val="105"/>
          <w:sz w:val="24"/>
          <w:szCs w:val="24"/>
        </w:rPr>
        <w:t xml:space="preserve">SEO et. al.,2015), </w:t>
      </w:r>
      <w:r>
        <w:rPr>
          <w:rFonts w:cs="Times New Roman" w:ascii="Times New Roman" w:hAnsi="Times New Roman"/>
          <w:sz w:val="24"/>
          <w:szCs w:val="24"/>
        </w:rPr>
        <w:t>foram compilados na tabela 6.</w:t>
      </w:r>
    </w:p>
    <w:p>
      <w:pPr>
        <w:pStyle w:val="Normal"/>
        <w:spacing w:lineRule="auto" w:line="324" w:before="0" w:after="0"/>
        <w:ind w:right="61" w:firstLine="1134"/>
        <w:rPr>
          <w:rFonts w:ascii="Times New Roman" w:hAnsi="Times New Roman" w:cs="Times New Roman"/>
          <w:w w:val="105"/>
          <w:sz w:val="24"/>
          <w:szCs w:val="24"/>
        </w:rPr>
      </w:pPr>
      <w:r>
        <w:rPr>
          <w:rFonts w:cs="Times New Roman" w:ascii="Times New Roman" w:hAnsi="Times New Roman"/>
          <w:w w:val="105"/>
          <w:sz w:val="24"/>
          <w:szCs w:val="24"/>
        </w:rPr>
      </w:r>
    </w:p>
    <w:p>
      <w:pPr>
        <w:pStyle w:val="Normal"/>
        <w:spacing w:lineRule="auto" w:line="324" w:before="0" w:after="0"/>
        <w:jc w:val="center"/>
        <w:rPr>
          <w:rFonts w:ascii="Times New Roman" w:hAnsi="Times New Roman" w:cs="Times New Roman"/>
          <w:w w:val="105"/>
          <w:sz w:val="24"/>
          <w:szCs w:val="24"/>
        </w:rPr>
      </w:pPr>
      <w:bookmarkStart w:id="166" w:name="_Hlk156897354"/>
      <w:bookmarkEnd w:id="166"/>
      <w:r>
        <w:rPr>
          <w:rFonts w:cs="Times New Roman" w:ascii="Times New Roman" w:hAnsi="Times New Roman"/>
          <w:sz w:val="24"/>
          <w:szCs w:val="24"/>
        </w:rPr>
        <w:t>Tabela 6 - Valores de n e k dos pós fluxantes em diferentes isotermas.</w:t>
      </w:r>
    </w:p>
    <w:tbl>
      <w:tblPr>
        <w:tblStyle w:val="Tabelacomgrade"/>
        <w:tblW w:w="8637" w:type="dxa"/>
        <w:jc w:val="left"/>
        <w:tblInd w:w="0" w:type="dxa"/>
        <w:tblCellMar>
          <w:top w:w="0" w:type="dxa"/>
          <w:left w:w="108" w:type="dxa"/>
          <w:bottom w:w="0" w:type="dxa"/>
          <w:right w:w="108" w:type="dxa"/>
        </w:tblCellMar>
        <w:tblLook w:noVBand="1" w:val="04a0" w:noHBand="0" w:lastColumn="0" w:firstColumn="1" w:lastRow="0" w:firstRow="1"/>
      </w:tblPr>
      <w:tblGrid>
        <w:gridCol w:w="2159"/>
        <w:gridCol w:w="2159"/>
        <w:gridCol w:w="2159"/>
        <w:gridCol w:w="2159"/>
      </w:tblGrid>
      <w:tr>
        <w:trPr>
          <w:trHeight w:val="227" w:hRule="exact"/>
        </w:trPr>
        <w:tc>
          <w:tcPr>
            <w:tcW w:w="2159" w:type="dxa"/>
            <w:tcBorders>
              <w:left w:val="nil"/>
              <w:right w:val="nil"/>
              <w:insideV w:val="nil"/>
            </w:tcBorders>
            <w:shd w:fill="auto" w:val="clear"/>
          </w:tcPr>
          <w:p>
            <w:pPr>
              <w:pStyle w:val="Normal"/>
              <w:spacing w:lineRule="auto" w:line="324" w:before="0" w:after="0"/>
              <w:ind w:right="61" w:hanging="0"/>
              <w:jc w:val="center"/>
              <w:rPr>
                <w:w w:val="105"/>
              </w:rPr>
            </w:pPr>
            <w:bookmarkStart w:id="167" w:name="_Hlk156897354"/>
            <w:bookmarkEnd w:id="167"/>
            <w:r>
              <w:rPr>
                <w:rFonts w:eastAsia="SimSun" w:cs="Times New Roman" w:ascii="Times New Roman" w:hAnsi="Times New Roman"/>
                <w:w w:val="105"/>
                <w:sz w:val="20"/>
                <w:szCs w:val="20"/>
                <w:lang w:eastAsia="pt-BR"/>
              </w:rPr>
              <w:t>Pó Fluxante</w:t>
            </w:r>
          </w:p>
        </w:tc>
        <w:tc>
          <w:tcPr>
            <w:tcW w:w="2159" w:type="dxa"/>
            <w:tcBorders>
              <w:left w:val="nil"/>
              <w:right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b/>
                <w:i/>
                <w:w w:val="105"/>
                <w:sz w:val="20"/>
                <w:szCs w:val="20"/>
                <w:lang w:eastAsia="pt-BR"/>
              </w:rPr>
              <w:t>T</w:t>
            </w:r>
            <w:r>
              <w:rPr>
                <w:rFonts w:eastAsia="SimSun" w:cs="Times New Roman" w:ascii="Times New Roman" w:hAnsi="Times New Roman"/>
                <w:w w:val="105"/>
                <w:sz w:val="20"/>
                <w:szCs w:val="20"/>
                <w:lang w:eastAsia="pt-BR"/>
              </w:rPr>
              <w:t xml:space="preserve"> (K)</w:t>
            </w:r>
          </w:p>
        </w:tc>
        <w:tc>
          <w:tcPr>
            <w:tcW w:w="2159" w:type="dxa"/>
            <w:tcBorders>
              <w:left w:val="nil"/>
              <w:right w:val="nil"/>
              <w:insideV w:val="nil"/>
            </w:tcBorders>
            <w:shd w:fill="auto" w:val="clear"/>
          </w:tcPr>
          <w:p>
            <w:pPr>
              <w:pStyle w:val="Normal"/>
              <w:spacing w:lineRule="auto" w:line="324" w:before="0" w:after="0"/>
              <w:ind w:right="61" w:hanging="0"/>
              <w:jc w:val="center"/>
              <w:rPr>
                <w:b/>
                <w:b/>
                <w:i/>
                <w:i/>
                <w:w w:val="105"/>
              </w:rPr>
            </w:pPr>
            <w:r>
              <w:rPr>
                <w:rFonts w:eastAsia="SimSun" w:cs="Times New Roman" w:ascii="Times New Roman" w:hAnsi="Times New Roman"/>
                <w:b/>
                <w:i/>
                <w:w w:val="105"/>
                <w:sz w:val="20"/>
                <w:szCs w:val="20"/>
                <w:lang w:eastAsia="pt-BR"/>
              </w:rPr>
              <w:t>n</w:t>
            </w:r>
          </w:p>
        </w:tc>
        <w:tc>
          <w:tcPr>
            <w:tcW w:w="2159" w:type="dxa"/>
            <w:tcBorders>
              <w:left w:val="nil"/>
              <w:right w:val="nil"/>
              <w:insideV w:val="nil"/>
            </w:tcBorders>
            <w:shd w:fill="auto" w:val="clear"/>
          </w:tcPr>
          <w:p>
            <w:pPr>
              <w:pStyle w:val="Normal"/>
              <w:spacing w:lineRule="auto" w:line="324" w:before="0" w:after="0"/>
              <w:ind w:right="61" w:hanging="0"/>
              <w:jc w:val="center"/>
              <w:rPr>
                <w:b/>
                <w:b/>
                <w:i/>
                <w:i/>
                <w:w w:val="105"/>
              </w:rPr>
            </w:pPr>
            <w:r>
              <w:rPr>
                <w:rFonts w:eastAsia="SimSun" w:cs="Times New Roman" w:ascii="Times New Roman" w:hAnsi="Times New Roman"/>
                <w:b/>
                <w:i/>
                <w:w w:val="105"/>
                <w:sz w:val="20"/>
                <w:szCs w:val="20"/>
                <w:lang w:eastAsia="pt-BR"/>
              </w:rPr>
              <w:t>k</w:t>
            </w:r>
          </w:p>
        </w:tc>
      </w:tr>
      <w:tr>
        <w:trPr>
          <w:trHeight w:val="227" w:hRule="exact"/>
        </w:trPr>
        <w:tc>
          <w:tcPr>
            <w:tcW w:w="2159" w:type="dxa"/>
            <w:tcBorders>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A</w:t>
            </w:r>
          </w:p>
        </w:tc>
        <w:tc>
          <w:tcPr>
            <w:tcW w:w="2159" w:type="dxa"/>
            <w:tcBorders>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1293</w:t>
            </w:r>
          </w:p>
        </w:tc>
        <w:tc>
          <w:tcPr>
            <w:tcW w:w="2159" w:type="dxa"/>
            <w:tcBorders>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sz w:val="20"/>
                <w:szCs w:val="20"/>
                <w:lang w:eastAsia="pt-BR"/>
              </w:rPr>
              <w:t>3,10</w:t>
            </w:r>
          </w:p>
        </w:tc>
        <w:tc>
          <w:tcPr>
            <w:tcW w:w="2159" w:type="dxa"/>
            <w:tcBorders>
              <w:left w:val="nil"/>
              <w:bottom w:val="nil"/>
              <w:right w:val="nil"/>
              <w:insideH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sz w:val="20"/>
                <w:szCs w:val="20"/>
                <w:lang w:eastAsia="pt-BR"/>
              </w:rPr>
              <w:t>6,22 x 10</w:t>
            </w:r>
            <w:r>
              <w:rPr>
                <w:rFonts w:eastAsia="SimSun" w:cs="Times New Roman" w:ascii="Times New Roman" w:hAnsi="Times New Roman"/>
                <w:sz w:val="20"/>
                <w:szCs w:val="20"/>
                <w:vertAlign w:val="superscript"/>
                <w:lang w:eastAsia="pt-BR"/>
              </w:rPr>
              <w:t>-9</w:t>
            </w:r>
          </w:p>
        </w:tc>
      </w:tr>
      <w:tr>
        <w:trPr>
          <w:trHeight w:val="227" w:hRule="exact"/>
        </w:trPr>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rFonts w:ascii="Times New Roman" w:hAnsi="Times New Roman" w:eastAsia="SimSun" w:cs="Times New Roman"/>
                <w:w w:val="105"/>
                <w:sz w:val="20"/>
                <w:szCs w:val="20"/>
                <w:lang w:eastAsia="pt-BR"/>
              </w:rPr>
            </w:pPr>
            <w:r>
              <w:rPr>
                <w:rFonts w:eastAsia="SimSun" w:cs="Times New Roman" w:ascii="Times New Roman" w:hAnsi="Times New Roman"/>
                <w:w w:val="105"/>
                <w:sz w:val="20"/>
                <w:szCs w:val="20"/>
                <w:lang w:eastAsia="pt-BR"/>
              </w:rPr>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1303</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sz w:val="20"/>
                <w:szCs w:val="20"/>
                <w:lang w:eastAsia="pt-BR"/>
              </w:rPr>
              <w:t>3,18</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sz w:val="20"/>
                <w:szCs w:val="20"/>
                <w:lang w:eastAsia="pt-BR"/>
              </w:rPr>
              <w:t>6,46 x 10</w:t>
            </w:r>
            <w:r>
              <w:rPr>
                <w:rFonts w:eastAsia="SimSun" w:cs="Times New Roman" w:ascii="Times New Roman" w:hAnsi="Times New Roman"/>
                <w:sz w:val="20"/>
                <w:szCs w:val="20"/>
                <w:vertAlign w:val="superscript"/>
                <w:lang w:eastAsia="pt-BR"/>
              </w:rPr>
              <w:t>-10</w:t>
            </w:r>
          </w:p>
        </w:tc>
      </w:tr>
      <w:tr>
        <w:trPr>
          <w:trHeight w:val="227" w:hRule="exact"/>
        </w:trPr>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rFonts w:ascii="Times New Roman" w:hAnsi="Times New Roman" w:eastAsia="SimSun" w:cs="Times New Roman"/>
                <w:w w:val="105"/>
                <w:sz w:val="20"/>
                <w:szCs w:val="20"/>
                <w:lang w:eastAsia="pt-BR"/>
              </w:rPr>
            </w:pPr>
            <w:r>
              <w:rPr>
                <w:rFonts w:eastAsia="SimSun" w:cs="Times New Roman" w:ascii="Times New Roman" w:hAnsi="Times New Roman"/>
                <w:w w:val="105"/>
                <w:sz w:val="20"/>
                <w:szCs w:val="20"/>
                <w:lang w:eastAsia="pt-BR"/>
              </w:rPr>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1313</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sz w:val="20"/>
                <w:szCs w:val="20"/>
                <w:lang w:eastAsia="pt-BR"/>
              </w:rPr>
              <w:t>3,27</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sz w:val="20"/>
                <w:szCs w:val="20"/>
                <w:lang w:eastAsia="pt-BR"/>
              </w:rPr>
              <w:t>2,43 x 10</w:t>
            </w:r>
            <w:r>
              <w:rPr>
                <w:rFonts w:eastAsia="SimSun" w:cs="Times New Roman" w:ascii="Times New Roman" w:hAnsi="Times New Roman"/>
                <w:sz w:val="20"/>
                <w:szCs w:val="20"/>
                <w:vertAlign w:val="superscript"/>
                <w:lang w:eastAsia="pt-BR"/>
              </w:rPr>
              <w:t>-10</w:t>
            </w:r>
          </w:p>
        </w:tc>
      </w:tr>
      <w:tr>
        <w:trPr>
          <w:trHeight w:val="227" w:hRule="exact"/>
        </w:trPr>
        <w:tc>
          <w:tcPr>
            <w:tcW w:w="2159" w:type="dxa"/>
            <w:tcBorders>
              <w:top w:val="nil"/>
              <w:left w:val="nil"/>
              <w:right w:val="nil"/>
              <w:insideV w:val="nil"/>
            </w:tcBorders>
            <w:shd w:fill="auto" w:val="clear"/>
          </w:tcPr>
          <w:p>
            <w:pPr>
              <w:pStyle w:val="Normal"/>
              <w:spacing w:lineRule="auto" w:line="324" w:before="0" w:after="0"/>
              <w:ind w:right="61" w:hanging="0"/>
              <w:jc w:val="center"/>
              <w:rPr>
                <w:rFonts w:ascii="Times New Roman" w:hAnsi="Times New Roman" w:eastAsia="SimSun" w:cs="Times New Roman"/>
                <w:w w:val="105"/>
                <w:sz w:val="20"/>
                <w:szCs w:val="20"/>
                <w:lang w:eastAsia="pt-BR"/>
              </w:rPr>
            </w:pPr>
            <w:r>
              <w:rPr>
                <w:rFonts w:eastAsia="SimSun" w:cs="Times New Roman" w:ascii="Times New Roman" w:hAnsi="Times New Roman"/>
                <w:w w:val="105"/>
                <w:sz w:val="20"/>
                <w:szCs w:val="20"/>
                <w:lang w:eastAsia="pt-BR"/>
              </w:rPr>
            </w:r>
          </w:p>
        </w:tc>
        <w:tc>
          <w:tcPr>
            <w:tcW w:w="2159" w:type="dxa"/>
            <w:tcBorders>
              <w:top w:val="nil"/>
              <w:left w:val="nil"/>
              <w:right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1323</w:t>
            </w:r>
          </w:p>
        </w:tc>
        <w:tc>
          <w:tcPr>
            <w:tcW w:w="2159" w:type="dxa"/>
            <w:tcBorders>
              <w:top w:val="nil"/>
              <w:left w:val="nil"/>
              <w:right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sz w:val="20"/>
                <w:szCs w:val="20"/>
                <w:lang w:eastAsia="pt-BR"/>
              </w:rPr>
              <w:t>3,08</w:t>
            </w:r>
          </w:p>
        </w:tc>
        <w:tc>
          <w:tcPr>
            <w:tcW w:w="2159" w:type="dxa"/>
            <w:tcBorders>
              <w:top w:val="nil"/>
              <w:left w:val="nil"/>
              <w:right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sz w:val="20"/>
                <w:szCs w:val="20"/>
                <w:lang w:eastAsia="pt-BR"/>
              </w:rPr>
              <w:t>3,87 x 10</w:t>
            </w:r>
            <w:r>
              <w:rPr>
                <w:rFonts w:eastAsia="SimSun" w:cs="Times New Roman" w:ascii="Times New Roman" w:hAnsi="Times New Roman"/>
                <w:sz w:val="20"/>
                <w:szCs w:val="20"/>
                <w:vertAlign w:val="superscript"/>
                <w:lang w:eastAsia="pt-BR"/>
              </w:rPr>
              <w:t>-11</w:t>
            </w:r>
          </w:p>
        </w:tc>
      </w:tr>
      <w:tr>
        <w:trPr>
          <w:trHeight w:val="227" w:hRule="exact"/>
        </w:trPr>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B</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1413</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3,03</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w w:val="105"/>
                <w:sz w:val="20"/>
                <w:szCs w:val="20"/>
                <w:lang w:eastAsia="pt-BR"/>
              </w:rPr>
              <w:t>8,32 x 10</w:t>
            </w:r>
            <w:r>
              <w:rPr>
                <w:rFonts w:eastAsia="SimSun" w:cs="Times New Roman" w:ascii="Times New Roman" w:hAnsi="Times New Roman"/>
                <w:w w:val="105"/>
                <w:sz w:val="20"/>
                <w:szCs w:val="20"/>
                <w:vertAlign w:val="superscript"/>
                <w:lang w:eastAsia="pt-BR"/>
              </w:rPr>
              <w:t>-7</w:t>
            </w:r>
          </w:p>
        </w:tc>
      </w:tr>
      <w:tr>
        <w:trPr>
          <w:trHeight w:val="227" w:hRule="exact"/>
        </w:trPr>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rFonts w:ascii="Times New Roman" w:hAnsi="Times New Roman" w:eastAsia="SimSun" w:cs="Times New Roman"/>
                <w:w w:val="105"/>
                <w:sz w:val="20"/>
                <w:szCs w:val="20"/>
                <w:lang w:eastAsia="pt-BR"/>
              </w:rPr>
            </w:pPr>
            <w:r>
              <w:rPr>
                <w:rFonts w:eastAsia="SimSun" w:cs="Times New Roman" w:ascii="Times New Roman" w:hAnsi="Times New Roman"/>
                <w:w w:val="105"/>
                <w:sz w:val="20"/>
                <w:szCs w:val="20"/>
                <w:lang w:eastAsia="pt-BR"/>
              </w:rPr>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1418</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3,11</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w w:val="105"/>
                <w:sz w:val="20"/>
                <w:szCs w:val="20"/>
                <w:lang w:eastAsia="pt-BR"/>
              </w:rPr>
              <w:t>2,40 x 10</w:t>
            </w:r>
            <w:r>
              <w:rPr>
                <w:rFonts w:eastAsia="SimSun" w:cs="Times New Roman" w:ascii="Times New Roman" w:hAnsi="Times New Roman"/>
                <w:w w:val="105"/>
                <w:sz w:val="20"/>
                <w:szCs w:val="20"/>
                <w:vertAlign w:val="superscript"/>
                <w:lang w:eastAsia="pt-BR"/>
              </w:rPr>
              <w:t>-7</w:t>
            </w:r>
          </w:p>
        </w:tc>
      </w:tr>
      <w:tr>
        <w:trPr>
          <w:trHeight w:val="227" w:hRule="exact"/>
        </w:trPr>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rFonts w:ascii="Times New Roman" w:hAnsi="Times New Roman" w:eastAsia="SimSun" w:cs="Times New Roman"/>
                <w:w w:val="105"/>
                <w:sz w:val="20"/>
                <w:szCs w:val="20"/>
                <w:lang w:eastAsia="pt-BR"/>
              </w:rPr>
            </w:pPr>
            <w:r>
              <w:rPr>
                <w:rFonts w:eastAsia="SimSun" w:cs="Times New Roman" w:ascii="Times New Roman" w:hAnsi="Times New Roman"/>
                <w:w w:val="105"/>
                <w:sz w:val="20"/>
                <w:szCs w:val="20"/>
                <w:lang w:eastAsia="pt-BR"/>
              </w:rPr>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1423</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3,10</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w w:val="105"/>
                <w:sz w:val="20"/>
                <w:szCs w:val="20"/>
                <w:lang w:eastAsia="pt-BR"/>
              </w:rPr>
              <w:t>1,51 x 10</w:t>
            </w:r>
            <w:r>
              <w:rPr>
                <w:rFonts w:eastAsia="SimSun" w:cs="Times New Roman" w:ascii="Times New Roman" w:hAnsi="Times New Roman"/>
                <w:w w:val="105"/>
                <w:sz w:val="20"/>
                <w:szCs w:val="20"/>
                <w:vertAlign w:val="superscript"/>
                <w:lang w:eastAsia="pt-BR"/>
              </w:rPr>
              <w:t>-7</w:t>
            </w:r>
          </w:p>
        </w:tc>
      </w:tr>
      <w:tr>
        <w:trPr>
          <w:trHeight w:val="227" w:hRule="exact"/>
        </w:trPr>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rFonts w:ascii="Times New Roman" w:hAnsi="Times New Roman" w:eastAsia="SimSun" w:cs="Times New Roman"/>
                <w:w w:val="105"/>
                <w:sz w:val="20"/>
                <w:szCs w:val="20"/>
                <w:lang w:eastAsia="pt-BR"/>
              </w:rPr>
            </w:pPr>
            <w:r>
              <w:rPr>
                <w:rFonts w:eastAsia="SimSun" w:cs="Times New Roman" w:ascii="Times New Roman" w:hAnsi="Times New Roman"/>
                <w:w w:val="105"/>
                <w:sz w:val="20"/>
                <w:szCs w:val="20"/>
                <w:lang w:eastAsia="pt-BR"/>
              </w:rPr>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1428</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3,22</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w w:val="105"/>
                <w:sz w:val="20"/>
                <w:szCs w:val="20"/>
                <w:lang w:eastAsia="pt-BR"/>
              </w:rPr>
              <w:t>7,24 x 10</w:t>
            </w:r>
            <w:r>
              <w:rPr>
                <w:rFonts w:eastAsia="SimSun" w:cs="Times New Roman" w:ascii="Times New Roman" w:hAnsi="Times New Roman"/>
                <w:w w:val="105"/>
                <w:sz w:val="20"/>
                <w:szCs w:val="20"/>
                <w:vertAlign w:val="superscript"/>
                <w:lang w:eastAsia="pt-BR"/>
              </w:rPr>
              <w:t>-8</w:t>
            </w:r>
          </w:p>
        </w:tc>
      </w:tr>
      <w:tr>
        <w:trPr>
          <w:trHeight w:val="227" w:hRule="exact"/>
        </w:trPr>
        <w:tc>
          <w:tcPr>
            <w:tcW w:w="2159" w:type="dxa"/>
            <w:tcBorders>
              <w:top w:val="nil"/>
              <w:left w:val="nil"/>
              <w:right w:val="nil"/>
              <w:insideV w:val="nil"/>
            </w:tcBorders>
            <w:shd w:fill="auto" w:val="clear"/>
          </w:tcPr>
          <w:p>
            <w:pPr>
              <w:pStyle w:val="Normal"/>
              <w:spacing w:lineRule="auto" w:line="324" w:before="0" w:after="0"/>
              <w:ind w:right="61" w:hanging="0"/>
              <w:jc w:val="center"/>
              <w:rPr>
                <w:rFonts w:ascii="Times New Roman" w:hAnsi="Times New Roman" w:eastAsia="SimSun" w:cs="Times New Roman"/>
                <w:w w:val="105"/>
                <w:sz w:val="20"/>
                <w:szCs w:val="20"/>
                <w:lang w:eastAsia="pt-BR"/>
              </w:rPr>
            </w:pPr>
            <w:r>
              <w:rPr>
                <w:rFonts w:eastAsia="SimSun" w:cs="Times New Roman" w:ascii="Times New Roman" w:hAnsi="Times New Roman"/>
                <w:w w:val="105"/>
                <w:sz w:val="20"/>
                <w:szCs w:val="20"/>
                <w:lang w:eastAsia="pt-BR"/>
              </w:rPr>
            </w:r>
          </w:p>
        </w:tc>
        <w:tc>
          <w:tcPr>
            <w:tcW w:w="2159" w:type="dxa"/>
            <w:tcBorders>
              <w:top w:val="nil"/>
              <w:left w:val="nil"/>
              <w:right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1433</w:t>
            </w:r>
          </w:p>
        </w:tc>
        <w:tc>
          <w:tcPr>
            <w:tcW w:w="2159" w:type="dxa"/>
            <w:tcBorders>
              <w:top w:val="nil"/>
              <w:left w:val="nil"/>
              <w:right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3,19</w:t>
            </w:r>
          </w:p>
        </w:tc>
        <w:tc>
          <w:tcPr>
            <w:tcW w:w="2159" w:type="dxa"/>
            <w:tcBorders>
              <w:top w:val="nil"/>
              <w:left w:val="nil"/>
              <w:right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w w:val="105"/>
                <w:sz w:val="20"/>
                <w:szCs w:val="20"/>
                <w:lang w:eastAsia="pt-BR"/>
              </w:rPr>
              <w:t>5,37 x 10</w:t>
            </w:r>
            <w:r>
              <w:rPr>
                <w:rFonts w:eastAsia="SimSun" w:cs="Times New Roman" w:ascii="Times New Roman" w:hAnsi="Times New Roman"/>
                <w:w w:val="105"/>
                <w:sz w:val="20"/>
                <w:szCs w:val="20"/>
                <w:vertAlign w:val="superscript"/>
                <w:lang w:eastAsia="pt-BR"/>
              </w:rPr>
              <w:t>-8</w:t>
            </w:r>
          </w:p>
        </w:tc>
      </w:tr>
      <w:tr>
        <w:trPr>
          <w:trHeight w:val="227" w:hRule="exact"/>
        </w:trPr>
        <w:tc>
          <w:tcPr>
            <w:tcW w:w="2159" w:type="dxa"/>
            <w:tcBorders>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D</w:t>
            </w:r>
          </w:p>
        </w:tc>
        <w:tc>
          <w:tcPr>
            <w:tcW w:w="2159" w:type="dxa"/>
            <w:tcBorders>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1478</w:t>
            </w:r>
          </w:p>
        </w:tc>
        <w:tc>
          <w:tcPr>
            <w:tcW w:w="2159" w:type="dxa"/>
            <w:tcBorders>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3,36</w:t>
            </w:r>
          </w:p>
        </w:tc>
        <w:tc>
          <w:tcPr>
            <w:tcW w:w="2159" w:type="dxa"/>
            <w:tcBorders>
              <w:left w:val="nil"/>
              <w:bottom w:val="nil"/>
              <w:right w:val="nil"/>
              <w:insideH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w w:val="105"/>
                <w:sz w:val="20"/>
                <w:szCs w:val="20"/>
                <w:lang w:eastAsia="pt-BR"/>
              </w:rPr>
              <w:t>2,14 x 10</w:t>
            </w:r>
            <w:r>
              <w:rPr>
                <w:rFonts w:eastAsia="SimSun" w:cs="Times New Roman" w:ascii="Times New Roman" w:hAnsi="Times New Roman"/>
                <w:w w:val="105"/>
                <w:sz w:val="20"/>
                <w:szCs w:val="20"/>
                <w:vertAlign w:val="superscript"/>
                <w:lang w:eastAsia="pt-BR"/>
              </w:rPr>
              <w:t>-7</w:t>
            </w:r>
          </w:p>
        </w:tc>
      </w:tr>
      <w:tr>
        <w:trPr>
          <w:trHeight w:val="227" w:hRule="exact"/>
        </w:trPr>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rFonts w:ascii="Times New Roman" w:hAnsi="Times New Roman" w:eastAsia="SimSun" w:cs="Times New Roman"/>
                <w:w w:val="105"/>
                <w:sz w:val="20"/>
                <w:szCs w:val="20"/>
                <w:lang w:eastAsia="pt-BR"/>
              </w:rPr>
            </w:pPr>
            <w:r>
              <w:rPr>
                <w:rFonts w:eastAsia="SimSun" w:cs="Times New Roman" w:ascii="Times New Roman" w:hAnsi="Times New Roman"/>
                <w:w w:val="105"/>
                <w:sz w:val="20"/>
                <w:szCs w:val="20"/>
                <w:lang w:eastAsia="pt-BR"/>
              </w:rPr>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1483</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3,50</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w w:val="105"/>
                <w:sz w:val="20"/>
                <w:szCs w:val="20"/>
                <w:lang w:eastAsia="pt-BR"/>
              </w:rPr>
              <w:t>5,01 x 10</w:t>
            </w:r>
            <w:r>
              <w:rPr>
                <w:rFonts w:eastAsia="SimSun" w:cs="Times New Roman" w:ascii="Times New Roman" w:hAnsi="Times New Roman"/>
                <w:w w:val="105"/>
                <w:sz w:val="20"/>
                <w:szCs w:val="20"/>
                <w:vertAlign w:val="superscript"/>
                <w:lang w:eastAsia="pt-BR"/>
              </w:rPr>
              <w:t>-8</w:t>
            </w:r>
          </w:p>
        </w:tc>
      </w:tr>
      <w:tr>
        <w:trPr>
          <w:trHeight w:val="227" w:hRule="exact"/>
        </w:trPr>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rFonts w:ascii="Times New Roman" w:hAnsi="Times New Roman" w:eastAsia="SimSun" w:cs="Times New Roman"/>
                <w:w w:val="105"/>
                <w:sz w:val="20"/>
                <w:szCs w:val="20"/>
                <w:lang w:eastAsia="pt-BR"/>
              </w:rPr>
            </w:pPr>
            <w:r>
              <w:rPr>
                <w:rFonts w:eastAsia="SimSun" w:cs="Times New Roman" w:ascii="Times New Roman" w:hAnsi="Times New Roman"/>
                <w:w w:val="105"/>
                <w:sz w:val="20"/>
                <w:szCs w:val="20"/>
                <w:lang w:eastAsia="pt-BR"/>
              </w:rPr>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1488</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3,36</w:t>
            </w:r>
          </w:p>
        </w:tc>
        <w:tc>
          <w:tcPr>
            <w:tcW w:w="2159" w:type="dxa"/>
            <w:tcBorders>
              <w:top w:val="nil"/>
              <w:left w:val="nil"/>
              <w:bottom w:val="nil"/>
              <w:right w:val="nil"/>
              <w:insideH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w w:val="105"/>
                <w:sz w:val="20"/>
                <w:szCs w:val="20"/>
                <w:lang w:eastAsia="pt-BR"/>
              </w:rPr>
              <w:t>4,07 x 10</w:t>
            </w:r>
            <w:r>
              <w:rPr>
                <w:rFonts w:eastAsia="SimSun" w:cs="Times New Roman" w:ascii="Times New Roman" w:hAnsi="Times New Roman"/>
                <w:w w:val="105"/>
                <w:sz w:val="20"/>
                <w:szCs w:val="20"/>
                <w:vertAlign w:val="superscript"/>
                <w:lang w:eastAsia="pt-BR"/>
              </w:rPr>
              <w:t>-8</w:t>
            </w:r>
          </w:p>
        </w:tc>
      </w:tr>
      <w:tr>
        <w:trPr>
          <w:trHeight w:val="227" w:hRule="exact"/>
        </w:trPr>
        <w:tc>
          <w:tcPr>
            <w:tcW w:w="2159" w:type="dxa"/>
            <w:tcBorders>
              <w:top w:val="nil"/>
              <w:left w:val="nil"/>
              <w:right w:val="nil"/>
              <w:insideV w:val="nil"/>
            </w:tcBorders>
            <w:shd w:fill="auto" w:val="clear"/>
          </w:tcPr>
          <w:p>
            <w:pPr>
              <w:pStyle w:val="Normal"/>
              <w:spacing w:lineRule="auto" w:line="324" w:before="0" w:after="0"/>
              <w:ind w:right="61" w:hanging="0"/>
              <w:jc w:val="center"/>
              <w:rPr>
                <w:rFonts w:ascii="Times New Roman" w:hAnsi="Times New Roman" w:eastAsia="SimSun" w:cs="Times New Roman"/>
                <w:w w:val="105"/>
                <w:sz w:val="20"/>
                <w:szCs w:val="20"/>
                <w:lang w:eastAsia="pt-BR"/>
              </w:rPr>
            </w:pPr>
            <w:r>
              <w:rPr>
                <w:rFonts w:eastAsia="SimSun" w:cs="Times New Roman" w:ascii="Times New Roman" w:hAnsi="Times New Roman"/>
                <w:w w:val="105"/>
                <w:sz w:val="20"/>
                <w:szCs w:val="20"/>
                <w:lang w:eastAsia="pt-BR"/>
              </w:rPr>
            </w:r>
          </w:p>
        </w:tc>
        <w:tc>
          <w:tcPr>
            <w:tcW w:w="2159" w:type="dxa"/>
            <w:tcBorders>
              <w:top w:val="nil"/>
              <w:left w:val="nil"/>
              <w:right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1493</w:t>
            </w:r>
          </w:p>
        </w:tc>
        <w:tc>
          <w:tcPr>
            <w:tcW w:w="2159" w:type="dxa"/>
            <w:tcBorders>
              <w:top w:val="nil"/>
              <w:left w:val="nil"/>
              <w:right w:val="nil"/>
              <w:insideV w:val="nil"/>
            </w:tcBorders>
            <w:shd w:fill="auto" w:val="clear"/>
          </w:tcPr>
          <w:p>
            <w:pPr>
              <w:pStyle w:val="Normal"/>
              <w:spacing w:lineRule="auto" w:line="324" w:before="0" w:after="0"/>
              <w:ind w:right="61" w:hanging="0"/>
              <w:jc w:val="center"/>
              <w:rPr>
                <w:w w:val="105"/>
              </w:rPr>
            </w:pPr>
            <w:r>
              <w:rPr>
                <w:rFonts w:eastAsia="SimSun" w:cs="Times New Roman" w:ascii="Times New Roman" w:hAnsi="Times New Roman"/>
                <w:w w:val="105"/>
                <w:sz w:val="20"/>
                <w:szCs w:val="20"/>
                <w:lang w:eastAsia="pt-BR"/>
              </w:rPr>
              <w:t>3,25</w:t>
            </w:r>
          </w:p>
        </w:tc>
        <w:tc>
          <w:tcPr>
            <w:tcW w:w="2159" w:type="dxa"/>
            <w:tcBorders>
              <w:top w:val="nil"/>
              <w:left w:val="nil"/>
              <w:right w:val="nil"/>
              <w:insideV w:val="nil"/>
            </w:tcBorders>
            <w:shd w:fill="auto" w:val="clear"/>
          </w:tcPr>
          <w:p>
            <w:pPr>
              <w:pStyle w:val="Normal"/>
              <w:spacing w:lineRule="auto" w:line="324" w:before="0" w:after="0"/>
              <w:ind w:right="61" w:hanging="0"/>
              <w:jc w:val="center"/>
              <w:rPr>
                <w:w w:val="105"/>
                <w:vertAlign w:val="superscript"/>
              </w:rPr>
            </w:pPr>
            <w:r>
              <w:rPr>
                <w:rFonts w:eastAsia="SimSun" w:cs="Times New Roman" w:ascii="Times New Roman" w:hAnsi="Times New Roman"/>
                <w:w w:val="105"/>
                <w:sz w:val="20"/>
                <w:szCs w:val="20"/>
                <w:lang w:eastAsia="pt-BR"/>
              </w:rPr>
              <w:t>3,47 x 10</w:t>
            </w:r>
            <w:r>
              <w:rPr>
                <w:rFonts w:eastAsia="SimSun" w:cs="Times New Roman" w:ascii="Times New Roman" w:hAnsi="Times New Roman"/>
                <w:w w:val="105"/>
                <w:sz w:val="20"/>
                <w:szCs w:val="20"/>
                <w:vertAlign w:val="superscript"/>
                <w:lang w:eastAsia="pt-BR"/>
              </w:rPr>
              <w:t>-8</w:t>
            </w:r>
            <w:bookmarkStart w:id="168" w:name="OLE_LINK1"/>
            <w:bookmarkEnd w:id="168"/>
          </w:p>
        </w:tc>
      </w:tr>
    </w:tbl>
    <w:p>
      <w:pPr>
        <w:pStyle w:val="Corpodetexto"/>
        <w:spacing w:lineRule="auto" w:line="360" w:before="0" w:after="0"/>
        <w:jc w:val="center"/>
        <w:rPr>
          <w:rFonts w:ascii="Times New Roman" w:hAnsi="Times New Roman" w:cs="Times New Roman"/>
          <w:w w:val="105"/>
          <w:sz w:val="20"/>
          <w:szCs w:val="20"/>
        </w:rPr>
      </w:pPr>
      <w:r>
        <w:rPr>
          <w:rFonts w:cs="Times New Roman" w:ascii="Times New Roman" w:hAnsi="Times New Roman"/>
          <w:color w:val="121412"/>
          <w:sz w:val="20"/>
          <w:szCs w:val="20"/>
        </w:rPr>
        <w:t xml:space="preserve">Fonte: AUTOR (2024) A e </w:t>
      </w:r>
      <w:r>
        <w:rPr>
          <w:rFonts w:cs="Times New Roman" w:ascii="Times New Roman" w:hAnsi="Times New Roman"/>
          <w:w w:val="105"/>
          <w:sz w:val="20"/>
          <w:szCs w:val="20"/>
        </w:rPr>
        <w:t>MYUNG-DUK</w:t>
      </w:r>
      <w:r>
        <w:rPr>
          <w:rFonts w:cs="Times New Roman" w:ascii="Times New Roman" w:hAnsi="Times New Roman"/>
          <w:spacing w:val="-9"/>
          <w:w w:val="105"/>
          <w:sz w:val="20"/>
          <w:szCs w:val="20"/>
        </w:rPr>
        <w:t xml:space="preserve"> </w:t>
      </w:r>
      <w:r>
        <w:rPr>
          <w:rFonts w:cs="Times New Roman" w:ascii="Times New Roman" w:hAnsi="Times New Roman"/>
          <w:w w:val="105"/>
          <w:sz w:val="20"/>
          <w:szCs w:val="20"/>
        </w:rPr>
        <w:t>SEO et al. (2015) B e D.</w:t>
      </w:r>
    </w:p>
    <w:p>
      <w:pPr>
        <w:pStyle w:val="Normal"/>
        <w:spacing w:lineRule="auto" w:line="360" w:before="102" w:after="140"/>
        <w:ind w:right="61" w:firstLine="1134"/>
        <w:jc w:val="both"/>
        <w:rPr>
          <w:rFonts w:ascii="Times New Roman" w:hAnsi="Times New Roman" w:cs="Times New Roman"/>
          <w:sz w:val="24"/>
          <w:szCs w:val="24"/>
        </w:rPr>
      </w:pPr>
      <w:r>
        <w:rPr>
          <w:rFonts w:cs="Times New Roman" w:ascii="Times New Roman" w:hAnsi="Times New Roman"/>
          <w:sz w:val="24"/>
          <w:szCs w:val="24"/>
        </w:rPr>
        <w:t xml:space="preserve">Percebe-se que, os valores das taxas de cristalização </w:t>
      </w:r>
      <w:r>
        <w:rPr>
          <w:rFonts w:cs="Times New Roman" w:ascii="Times New Roman" w:hAnsi="Times New Roman"/>
          <w:b/>
          <w:i/>
          <w:sz w:val="24"/>
          <w:szCs w:val="24"/>
        </w:rPr>
        <w:t>k</w:t>
      </w:r>
      <w:r>
        <w:rPr>
          <w:rFonts w:cs="Times New Roman" w:ascii="Times New Roman" w:hAnsi="Times New Roman"/>
          <w:sz w:val="24"/>
          <w:szCs w:val="24"/>
        </w:rPr>
        <w:t xml:space="preserve"> dos pós fluxantes diminuem com o aumento da temperatura </w:t>
      </w:r>
      <w:r>
        <w:rPr>
          <w:rFonts w:cs="Times New Roman" w:ascii="Times New Roman" w:hAnsi="Times New Roman"/>
          <w:b/>
          <w:i/>
          <w:sz w:val="24"/>
          <w:szCs w:val="24"/>
        </w:rPr>
        <w:t>T</w:t>
      </w:r>
      <w:r>
        <w:rPr>
          <w:rFonts w:cs="Times New Roman" w:ascii="Times New Roman" w:hAnsi="Times New Roman"/>
          <w:sz w:val="24"/>
          <w:szCs w:val="24"/>
        </w:rPr>
        <w:t>. Isso significa que, quanto maior a temperatura, menos cristais irão formar, ou seja, diminui a taxa de nucleação, mas aumenta o tamanho dos cristais.</w:t>
      </w:r>
    </w:p>
    <w:p>
      <w:pPr>
        <w:pStyle w:val="Normal"/>
        <w:spacing w:lineRule="auto" w:line="360" w:before="0" w:after="0"/>
        <w:ind w:right="61" w:firstLine="1134"/>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 xml:space="preserve">Pela tabela 6, calculando a média do valor de </w:t>
      </w:r>
      <w:r>
        <w:rPr>
          <w:rFonts w:cs="Times New Roman" w:ascii="Times New Roman" w:hAnsi="Times New Roman"/>
          <w:b/>
          <w:i/>
          <w:color w:val="000000" w:themeColor="text1"/>
          <w:sz w:val="24"/>
          <w:szCs w:val="24"/>
        </w:rPr>
        <w:t xml:space="preserve">n </w:t>
      </w:r>
      <w:r>
        <w:rPr>
          <w:rFonts w:cs="Times New Roman" w:ascii="Times New Roman" w:hAnsi="Times New Roman"/>
          <w:color w:val="000000" w:themeColor="text1"/>
          <w:sz w:val="24"/>
          <w:szCs w:val="24"/>
        </w:rPr>
        <w:t xml:space="preserve">de cada isoterma, podemos assumir que o </w:t>
      </w:r>
      <w:r>
        <w:rPr>
          <w:rFonts w:cs="Times New Roman" w:ascii="Times New Roman" w:hAnsi="Times New Roman"/>
          <w:b/>
          <w:i/>
          <w:color w:val="000000" w:themeColor="text1"/>
          <w:sz w:val="24"/>
          <w:szCs w:val="24"/>
        </w:rPr>
        <w:t>n</w:t>
      </w:r>
      <w:r>
        <w:rPr>
          <w:rFonts w:cs="Times New Roman" w:ascii="Times New Roman" w:hAnsi="Times New Roman"/>
          <w:color w:val="000000" w:themeColor="text1"/>
          <w:sz w:val="24"/>
          <w:szCs w:val="24"/>
        </w:rPr>
        <w:t xml:space="preserve"> do fluxante A é 3,16. Pela tabela 2, quando </w:t>
      </w:r>
      <w:r>
        <w:rPr>
          <w:rFonts w:cs="Times New Roman" w:ascii="Times New Roman" w:hAnsi="Times New Roman"/>
          <w:b/>
          <w:i/>
          <w:color w:val="000000" w:themeColor="text1"/>
          <w:sz w:val="24"/>
          <w:szCs w:val="24"/>
        </w:rPr>
        <w:t>n</w:t>
      </w:r>
      <w:r>
        <w:rPr>
          <w:rFonts w:cs="Times New Roman" w:ascii="Times New Roman" w:hAnsi="Times New Roman"/>
          <w:color w:val="000000" w:themeColor="text1"/>
          <w:sz w:val="24"/>
          <w:szCs w:val="24"/>
        </w:rPr>
        <w:t xml:space="preserve"> = 3, temos 2 opções: nucleação </w:t>
      </w:r>
      <w:r>
        <w:rPr>
          <w:rFonts w:cs="Times New Roman" w:ascii="Times New Roman" w:hAnsi="Times New Roman"/>
          <w:sz w:val="24"/>
          <w:szCs w:val="24"/>
        </w:rPr>
        <w:t>homogênea bidimensional</w:t>
      </w:r>
      <w:r>
        <w:rPr>
          <w:rFonts w:cs="Times New Roman" w:ascii="Times New Roman" w:hAnsi="Times New Roman"/>
          <w:color w:val="000000" w:themeColor="text1"/>
          <w:sz w:val="24"/>
          <w:szCs w:val="24"/>
        </w:rPr>
        <w:t xml:space="preserve"> ou nucleação heterogênea tridimensional. A literatura aborda que durante o processo de cristalização, quando o material contém </w:t>
      </w:r>
      <w:r>
        <w:rPr>
          <w:rFonts w:cs="Times New Roman" w:ascii="Times New Roman" w:hAnsi="Times New Roman"/>
          <w:sz w:val="24"/>
          <w:szCs w:val="24"/>
        </w:rPr>
        <w:t xml:space="preserve">impurezas insolúveis ou outro material presente na sua estrutura, ocorre a nucleação heterogênea, </w:t>
      </w:r>
      <w:bookmarkStart w:id="169" w:name="_Hlk157712010"/>
      <w:r>
        <w:rPr>
          <w:rFonts w:cs="Times New Roman" w:ascii="Times New Roman" w:hAnsi="Times New Roman"/>
          <w:sz w:val="24"/>
          <w:szCs w:val="24"/>
        </w:rPr>
        <w:t>que é o caso do pó fluxante no lingotamento contínuo.</w:t>
      </w:r>
      <w:bookmarkEnd w:id="169"/>
      <w:r>
        <w:rPr>
          <w:rFonts w:cs="Times New Roman" w:ascii="Times New Roman" w:hAnsi="Times New Roman"/>
          <w:sz w:val="24"/>
          <w:szCs w:val="24"/>
        </w:rPr>
        <w:t xml:space="preserve"> Portanto, </w:t>
      </w:r>
      <w:r>
        <w:rPr>
          <w:rFonts w:cs="Times New Roman" w:ascii="Times New Roman" w:hAnsi="Times New Roman"/>
          <w:color w:val="000000" w:themeColor="text1"/>
          <w:sz w:val="24"/>
          <w:szCs w:val="24"/>
        </w:rPr>
        <w:t>a transformação de fase do fluxante A é heterogênea formando cristais tridimensionais.</w:t>
      </w:r>
    </w:p>
    <w:p>
      <w:pPr>
        <w:pStyle w:val="Normal"/>
        <w:spacing w:lineRule="auto" w:line="360" w:before="0" w:after="0"/>
        <w:ind w:firstLine="1134"/>
        <w:jc w:val="both"/>
        <w:rPr>
          <w:rFonts w:ascii="Times New Roman" w:hAnsi="Times New Roman" w:cs="Times New Roman"/>
          <w:sz w:val="24"/>
          <w:szCs w:val="24"/>
        </w:rPr>
      </w:pPr>
      <w:bookmarkStart w:id="170" w:name="_Hlk150626020"/>
      <w:bookmarkEnd w:id="170"/>
      <w:r>
        <w:rPr>
          <w:rFonts w:cs="Times New Roman" w:ascii="Times New Roman" w:hAnsi="Times New Roman"/>
          <w:sz w:val="24"/>
          <w:szCs w:val="24"/>
        </w:rPr>
        <w:t xml:space="preserve">A constante efetiva da taxa de cristalização </w:t>
      </w:r>
      <w:r>
        <w:rPr>
          <w:rFonts w:cs="Times New Roman" w:ascii="Times New Roman" w:hAnsi="Times New Roman"/>
          <w:b/>
          <w:i/>
          <w:sz w:val="24"/>
          <w:szCs w:val="24"/>
        </w:rPr>
        <w:t>k</w:t>
      </w:r>
      <w:r>
        <w:rPr>
          <w:rFonts w:cs="Times New Roman" w:ascii="Times New Roman" w:hAnsi="Times New Roman"/>
          <w:sz w:val="24"/>
          <w:szCs w:val="24"/>
        </w:rPr>
        <w:t xml:space="preserve"> pode ser usada para determinar a energia de ativação de cristalização </w:t>
      </w:r>
      <w:r>
        <w:rPr>
          <w:rFonts w:cs="Times New Roman" w:ascii="Times New Roman" w:hAnsi="Times New Roman"/>
          <w:b/>
          <w:i/>
          <w:sz w:val="24"/>
          <w:szCs w:val="24"/>
        </w:rPr>
        <w:t>Ea</w:t>
      </w:r>
      <w:r>
        <w:rPr>
          <w:rFonts w:cs="Times New Roman" w:ascii="Times New Roman" w:hAnsi="Times New Roman"/>
          <w:sz w:val="24"/>
          <w:szCs w:val="24"/>
        </w:rPr>
        <w:t>, através da equação de Arrhenius:</w:t>
      </w:r>
      <w:bookmarkStart w:id="171" w:name="_Hlk160779834"/>
      <w:bookmarkEnd w:id="171"/>
    </w:p>
    <w:p>
      <w:pPr>
        <w:pStyle w:val="Normal"/>
        <w:spacing w:lineRule="auto" w:line="360"/>
        <w:ind w:firstLine="1134"/>
        <w:jc w:val="both"/>
        <w:rPr>
          <w:rFonts w:ascii="Times New Roman" w:hAnsi="Times New Roman" w:eastAsia="" w:cs="Times New Roman" w:eastAsiaTheme="minorEastAsia"/>
          <w:sz w:val="24"/>
          <w:szCs w:val="24"/>
        </w:rPr>
      </w:pPr>
      <w:r>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A</m:t>
        </m:r>
        <m:sSup>
          <m:e>
            <m:r>
              <w:rPr>
                <w:rFonts w:ascii="Cambria Math" w:hAnsi="Cambria Math"/>
              </w:rPr>
              <m:t xml:space="preserve">exp</m:t>
            </m:r>
          </m:e>
          <m:sup>
            <m:d>
              <m:dPr>
                <m:begChr m:val="("/>
                <m:endChr m:val=")"/>
              </m:dPr>
              <m:e>
                <m:f>
                  <m:num>
                    <m:r>
                      <w:rPr>
                        <w:rFonts w:ascii="Cambria Math" w:hAnsi="Cambria Math"/>
                      </w:rPr>
                      <m:t xml:space="preserve">−</m:t>
                    </m:r>
                    <m:r>
                      <w:rPr>
                        <w:rFonts w:ascii="Cambria Math" w:hAnsi="Cambria Math"/>
                      </w:rPr>
                      <m:t xml:space="preserve">Ea</m:t>
                    </m:r>
                  </m:num>
                  <m:den>
                    <m:r>
                      <w:rPr>
                        <w:rFonts w:ascii="Cambria Math" w:hAnsi="Cambria Math"/>
                      </w:rPr>
                      <m:t xml:space="preserve">RT</m:t>
                    </m:r>
                  </m:den>
                </m:f>
              </m:e>
            </m:d>
          </m:sup>
        </m:sSup>
      </m:oMath>
      <w:r>
        <w:rPr>
          <w:rFonts w:eastAsia="" w:cs="Times New Roman" w:ascii="Times New Roman" w:hAnsi="Times New Roman" w:eastAsiaTheme="minorEastAsia"/>
          <w:sz w:val="24"/>
          <w:szCs w:val="24"/>
        </w:rPr>
        <w:t xml:space="preserve">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w:t>
      </w:r>
      <w:r>
        <w:rPr>
          <w:rFonts w:cs="Times New Roman" w:ascii="Times New Roman" w:hAnsi="Times New Roman"/>
          <w:b/>
          <w:i/>
          <w:sz w:val="24"/>
          <w:szCs w:val="24"/>
        </w:rPr>
        <w:t>Ea</w:t>
      </w:r>
      <w:r>
        <w:rPr>
          <w:rFonts w:cs="Times New Roman" w:ascii="Times New Roman" w:hAnsi="Times New Roman"/>
          <w:sz w:val="24"/>
          <w:szCs w:val="24"/>
        </w:rPr>
        <w:t xml:space="preserve"> a energia de ativação mínima necessária para início da formação dos cristais, </w:t>
      </w:r>
      <w:r>
        <w:rPr>
          <w:rFonts w:cs="Times New Roman" w:ascii="Times New Roman" w:hAnsi="Times New Roman"/>
          <w:b/>
          <w:i/>
          <w:sz w:val="24"/>
          <w:szCs w:val="24"/>
        </w:rPr>
        <w:t>R</w:t>
      </w:r>
      <w:r>
        <w:rPr>
          <w:rFonts w:cs="Times New Roman" w:ascii="Times New Roman" w:hAnsi="Times New Roman"/>
          <w:sz w:val="24"/>
          <w:szCs w:val="24"/>
        </w:rPr>
        <w:t xml:space="preserve"> a constante universal dos gases, </w:t>
      </w:r>
      <w:r>
        <w:rPr>
          <w:rFonts w:cs="Times New Roman" w:ascii="Times New Roman" w:hAnsi="Times New Roman"/>
          <w:b/>
          <w:i/>
          <w:sz w:val="24"/>
          <w:szCs w:val="24"/>
        </w:rPr>
        <w:t>T</w:t>
      </w:r>
      <w:r>
        <w:rPr>
          <w:rFonts w:cs="Times New Roman" w:ascii="Times New Roman" w:hAnsi="Times New Roman"/>
          <w:sz w:val="24"/>
          <w:szCs w:val="24"/>
        </w:rPr>
        <w:t xml:space="preserve"> a temperatura absoluta e </w:t>
      </w:r>
      <w:r>
        <w:rPr>
          <w:rFonts w:cs="Times New Roman" w:ascii="Times New Roman" w:hAnsi="Times New Roman"/>
          <w:b/>
          <w:i/>
          <w:sz w:val="24"/>
          <w:szCs w:val="24"/>
        </w:rPr>
        <w:t>A</w:t>
      </w:r>
      <w:r>
        <w:rPr>
          <w:rFonts w:cs="Times New Roman" w:ascii="Times New Roman" w:hAnsi="Times New Roman"/>
          <w:sz w:val="24"/>
          <w:szCs w:val="24"/>
        </w:rPr>
        <w:t xml:space="preserve"> o fator de frequência de formação dos cristais.</w:t>
      </w:r>
    </w:p>
    <w:p>
      <w:pPr>
        <w:pStyle w:val="NormalWeb"/>
        <w:shd w:val="clear" w:color="auto" w:fill="FFFFFF"/>
        <w:spacing w:lineRule="auto" w:line="360" w:before="0" w:after="0"/>
        <w:ind w:firstLine="1134"/>
        <w:jc w:val="both"/>
        <w:rPr>
          <w:sz w:val="24"/>
          <w:szCs w:val="24"/>
        </w:rPr>
      </w:pPr>
      <w:r>
        <w:rPr>
          <w:sz w:val="24"/>
          <w:szCs w:val="24"/>
        </w:rPr>
        <w:t>No entanto, para linearizar a equação, foi aplicado o logaritmo natural, ln, em ambos os lados da equação de Arrhenius, ficando da seguinte forma:</w:t>
      </w:r>
    </w:p>
    <w:p>
      <w:pPr>
        <w:pStyle w:val="NormalWeb"/>
        <w:shd w:val="clear" w:color="auto" w:fill="FFFFFF"/>
        <w:spacing w:lineRule="auto" w:line="360" w:before="0" w:after="0"/>
        <w:ind w:firstLine="1134"/>
        <w:jc w:val="both"/>
        <w:rPr>
          <w:sz w:val="24"/>
          <w:szCs w:val="24"/>
        </w:rPr>
      </w:pPr>
      <w:r>
        <w:rPr/>
      </w:r>
      <m:oMath xmlns:m="http://schemas.openxmlformats.org/officeDocument/2006/math">
        <m:r>
          <w:rPr>
            <w:rFonts w:ascii="Cambria Math" w:hAnsi="Cambria Math"/>
          </w:rPr>
          <m:t xml:space="preserve">ln</m:t>
        </m:r>
        <m:r>
          <w:rPr>
            <w:rFonts w:ascii="Cambria Math" w:hAnsi="Cambria Math"/>
          </w:rPr>
          <m:t xml:space="preserve">k</m:t>
        </m:r>
        <m:r>
          <w:rPr>
            <w:rFonts w:ascii="Cambria Math" w:hAnsi="Cambria Math"/>
          </w:rPr>
          <m:t xml:space="preserve">=</m:t>
        </m:r>
        <m:r>
          <w:rPr>
            <w:rFonts w:ascii="Cambria Math" w:hAnsi="Cambria Math"/>
          </w:rPr>
          <m:t xml:space="preserve">ln</m:t>
        </m:r>
        <m:r>
          <w:rPr>
            <w:rFonts w:ascii="Cambria Math" w:hAnsi="Cambria Math"/>
          </w:rPr>
          <m:t xml:space="preserve">A</m:t>
        </m:r>
        <m:r>
          <w:rPr>
            <w:rFonts w:ascii="Cambria Math" w:hAnsi="Cambria Math"/>
          </w:rPr>
          <m:t xml:space="preserve">−</m:t>
        </m:r>
        <m:d>
          <m:dPr>
            <m:begChr m:val="("/>
            <m:endChr m:val=")"/>
          </m:dPr>
          <m:e>
            <m:f>
              <m:num>
                <m:sSub>
                  <m:e>
                    <m:r>
                      <w:rPr>
                        <w:rFonts w:ascii="Cambria Math" w:hAnsi="Cambria Math"/>
                      </w:rPr>
                      <m:t xml:space="preserve">E</m:t>
                    </m:r>
                  </m:e>
                  <m:sub>
                    <m:r>
                      <w:rPr>
                        <w:rFonts w:ascii="Cambria Math" w:hAnsi="Cambria Math"/>
                      </w:rPr>
                      <m:t xml:space="preserve">a</m:t>
                    </m:r>
                  </m:sub>
                </m:sSub>
              </m:num>
              <m:den>
                <m:r>
                  <w:rPr>
                    <w:rFonts w:ascii="Cambria Math" w:hAnsi="Cambria Math"/>
                  </w:rPr>
                  <m:t xml:space="preserve">RT</m:t>
                </m:r>
              </m:den>
            </m:f>
          </m:e>
        </m:d>
      </m:oMath>
      <w:r>
        <w:rPr>
          <w:sz w:val="24"/>
          <w:szCs w:val="24"/>
        </w:rPr>
        <w:t xml:space="preserve">                                                                                                           </w:t>
      </w:r>
    </w:p>
    <w:p>
      <w:pPr>
        <w:pStyle w:val="NormalWeb"/>
        <w:shd w:val="clear" w:color="auto" w:fill="FFFFFF"/>
        <w:spacing w:lineRule="auto" w:line="360" w:before="0" w:after="0"/>
        <w:ind w:firstLine="1134"/>
        <w:jc w:val="both"/>
        <w:rPr>
          <w:sz w:val="24"/>
          <w:szCs w:val="24"/>
        </w:rPr>
      </w:pPr>
      <w:r>
        <w:rPr>
          <w:sz w:val="24"/>
          <w:szCs w:val="24"/>
        </w:rPr>
        <w:t xml:space="preserve">Organizando a equação linear acima, conseguimos relacionar </w:t>
      </w:r>
      <w:r>
        <w:rPr>
          <w:b/>
          <w:i/>
          <w:sz w:val="24"/>
          <w:szCs w:val="24"/>
        </w:rPr>
        <w:t>k</w:t>
      </w:r>
      <w:r>
        <w:rPr>
          <w:sz w:val="24"/>
          <w:szCs w:val="24"/>
        </w:rPr>
        <w:t xml:space="preserve"> a </w:t>
      </w:r>
      <w:r>
        <w:rPr>
          <w:b/>
          <w:i/>
          <w:sz w:val="24"/>
          <w:szCs w:val="24"/>
        </w:rPr>
        <w:t>(1/T)</w:t>
      </w:r>
      <w:r>
        <w:rPr>
          <w:sz w:val="24"/>
          <w:szCs w:val="24"/>
        </w:rPr>
        <w:t>, da seguinte forma:</w:t>
      </w:r>
      <w:bookmarkStart w:id="172" w:name="_Hlk157712298"/>
      <w:bookmarkEnd w:id="172"/>
    </w:p>
    <w:p>
      <w:pPr>
        <w:pStyle w:val="NormalWeb"/>
        <w:shd w:val="clear" w:color="auto" w:fill="FFFFFF"/>
        <w:spacing w:lineRule="auto" w:line="360"/>
        <w:ind w:firstLine="1134"/>
        <w:jc w:val="both"/>
        <w:rPr>
          <w:sz w:val="24"/>
          <w:szCs w:val="24"/>
        </w:rPr>
      </w:pPr>
      <w:r>
        <w:rPr/>
      </w:r>
      <m:oMath xmlns:m="http://schemas.openxmlformats.org/officeDocument/2006/math">
        <m:r>
          <w:rPr>
            <w:rFonts w:ascii="Cambria Math" w:hAnsi="Cambria Math"/>
          </w:rPr>
          <m:t xml:space="preserve">ln</m:t>
        </m:r>
        <m:r>
          <w:rPr>
            <w:rFonts w:ascii="Cambria Math" w:hAnsi="Cambria Math"/>
          </w:rPr>
          <m:t xml:space="preserve">k</m:t>
        </m:r>
        <m:r>
          <w:rPr>
            <w:rFonts w:ascii="Cambria Math" w:hAnsi="Cambria Math"/>
          </w:rPr>
          <m:t xml:space="preserve">=</m:t>
        </m:r>
        <m:r>
          <w:rPr>
            <w:rFonts w:ascii="Cambria Math" w:hAnsi="Cambria Math"/>
          </w:rPr>
          <m:t xml:space="preserve">ln</m:t>
        </m:r>
        <m:r>
          <w:rPr>
            <w:rFonts w:ascii="Cambria Math" w:hAnsi="Cambria Math"/>
          </w:rPr>
          <m:t xml:space="preserve">A</m:t>
        </m:r>
        <m:r>
          <w:rPr>
            <w:rFonts w:ascii="Cambria Math" w:hAnsi="Cambria Math"/>
          </w:rPr>
          <m:t xml:space="preserve">−</m:t>
        </m:r>
        <m:d>
          <m:dPr>
            <m:begChr m:val="("/>
            <m:endChr m:val=")"/>
          </m:dPr>
          <m:e>
            <m:f>
              <m:num>
                <m:sSub>
                  <m:e>
                    <m:r>
                      <w:rPr>
                        <w:rFonts w:ascii="Cambria Math" w:hAnsi="Cambria Math"/>
                      </w:rPr>
                      <m:t xml:space="preserve">E</m:t>
                    </m:r>
                  </m:e>
                  <m:sub>
                    <m:r>
                      <w:rPr>
                        <w:rFonts w:ascii="Cambria Math" w:hAnsi="Cambria Math"/>
                      </w:rPr>
                      <m:t xml:space="preserve">a</m:t>
                    </m:r>
                  </m:sub>
                </m:sSub>
              </m:num>
              <m:den>
                <m:r>
                  <w:rPr>
                    <w:rFonts w:ascii="Cambria Math" w:hAnsi="Cambria Math"/>
                  </w:rPr>
                  <m:t xml:space="preserve">RT</m:t>
                </m:r>
              </m:den>
            </m:f>
          </m:e>
        </m:d>
      </m:oMath>
      <w:r>
        <w:rPr>
          <w:sz w:val="24"/>
          <w:szCs w:val="24"/>
        </w:rPr>
        <w:t xml:space="preserve">   →  </w:t>
      </w:r>
      <w:r>
        <w:rPr/>
      </w:r>
      <m:oMath xmlns:m="http://schemas.openxmlformats.org/officeDocument/2006/math">
        <m:r>
          <w:rPr>
            <w:rFonts w:ascii="Cambria Math" w:hAnsi="Cambria Math"/>
          </w:rPr>
          <m:t xml:space="preserve">ln</m:t>
        </m:r>
        <m:r>
          <w:rPr>
            <w:rFonts w:ascii="Cambria Math" w:hAnsi="Cambria Math"/>
          </w:rPr>
          <m:t xml:space="preserve">k</m:t>
        </m:r>
        <m:r>
          <w:rPr>
            <w:rFonts w:ascii="Cambria Math" w:hAnsi="Cambria Math"/>
          </w:rPr>
          <m:t xml:space="preserve">=</m:t>
        </m:r>
        <m:r>
          <w:rPr>
            <w:rFonts w:ascii="Cambria Math" w:hAnsi="Cambria Math"/>
          </w:rPr>
          <m:t xml:space="preserve">ln</m:t>
        </m:r>
        <m:r>
          <w:rPr>
            <w:rFonts w:ascii="Cambria Math" w:hAnsi="Cambria Math"/>
          </w:rPr>
          <m:t xml:space="preserve">A</m:t>
        </m:r>
        <m:r>
          <w:rPr>
            <w:rFonts w:ascii="Cambria Math" w:hAnsi="Cambria Math"/>
          </w:rPr>
          <m:t xml:space="preserve">−</m:t>
        </m:r>
        <m:f>
          <m:num>
            <m:sSub>
              <m:e>
                <m:r>
                  <w:rPr>
                    <w:rFonts w:ascii="Cambria Math" w:hAnsi="Cambria Math"/>
                  </w:rPr>
                  <m:t xml:space="preserve">E</m:t>
                </m:r>
              </m:e>
              <m:sub>
                <m:r>
                  <w:rPr>
                    <w:rFonts w:ascii="Cambria Math" w:hAnsi="Cambria Math"/>
                  </w:rPr>
                  <m:t xml:space="preserve">a</m:t>
                </m:r>
              </m:sub>
            </m:sSub>
          </m:num>
          <m:den>
            <m:r>
              <w:rPr>
                <w:rFonts w:ascii="Cambria Math" w:hAnsi="Cambria Math"/>
              </w:rPr>
              <m:t xml:space="preserve">R</m:t>
            </m:r>
          </m:den>
        </m:f>
        <m:d>
          <m:dPr>
            <m:begChr m:val="("/>
            <m:endChr m:val=")"/>
          </m:dPr>
          <m:e>
            <m:f>
              <m:num>
                <m:r>
                  <w:rPr>
                    <w:rFonts w:ascii="Cambria Math" w:hAnsi="Cambria Math"/>
                  </w:rPr>
                  <m:t xml:space="preserve">1</m:t>
                </m:r>
              </m:num>
              <m:den>
                <m:r>
                  <w:rPr>
                    <w:rFonts w:ascii="Cambria Math" w:hAnsi="Cambria Math"/>
                  </w:rPr>
                  <m:t xml:space="preserve">T</m:t>
                </m:r>
              </m:den>
            </m:f>
          </m:e>
        </m:d>
      </m:oMath>
      <w:r>
        <w:rPr>
          <w:sz w:val="24"/>
          <w:szCs w:val="24"/>
        </w:rPr>
        <w:t xml:space="preserve">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Desta forma, podemos calcular a energia de ativação </w:t>
      </w:r>
      <w:r>
        <w:rPr>
          <w:rFonts w:cs="Times New Roman" w:ascii="Times New Roman" w:hAnsi="Times New Roman"/>
          <w:b/>
          <w:i/>
          <w:sz w:val="24"/>
          <w:szCs w:val="24"/>
        </w:rPr>
        <w:t>Ea</w:t>
      </w:r>
      <w:r>
        <w:rPr>
          <w:rFonts w:cs="Times New Roman" w:ascii="Times New Roman" w:hAnsi="Times New Roman"/>
          <w:sz w:val="24"/>
          <w:szCs w:val="24"/>
        </w:rPr>
        <w:t xml:space="preserve"> do pó fluxante A, com os valores de </w:t>
      </w:r>
      <w:r>
        <w:rPr>
          <w:rFonts w:cs="Times New Roman" w:ascii="Times New Roman" w:hAnsi="Times New Roman"/>
          <w:b/>
          <w:i/>
          <w:sz w:val="24"/>
          <w:szCs w:val="24"/>
        </w:rPr>
        <w:t>k</w:t>
      </w:r>
      <w:r>
        <w:rPr>
          <w:rFonts w:cs="Times New Roman" w:ascii="Times New Roman" w:hAnsi="Times New Roman"/>
          <w:sz w:val="24"/>
          <w:szCs w:val="24"/>
        </w:rPr>
        <w:t xml:space="preserve"> </w:t>
      </w:r>
      <w:bookmarkStart w:id="173" w:name="_Hlk150671189"/>
      <w:r>
        <w:rPr>
          <w:rFonts w:cs="Times New Roman" w:ascii="Times New Roman" w:hAnsi="Times New Roman"/>
          <w:sz w:val="24"/>
          <w:szCs w:val="24"/>
        </w:rPr>
        <w:t xml:space="preserve">plotando o gráfico </w:t>
      </w:r>
      <w:r>
        <w:rPr>
          <w:rFonts w:cs="Times New Roman" w:ascii="Times New Roman" w:hAnsi="Times New Roman"/>
          <w:b/>
          <w:sz w:val="24"/>
          <w:szCs w:val="24"/>
        </w:rPr>
        <w:t xml:space="preserve">ln </w:t>
      </w:r>
      <w:r>
        <w:rPr>
          <w:rFonts w:cs="Times New Roman" w:ascii="Times New Roman" w:hAnsi="Times New Roman"/>
          <w:b/>
          <w:i/>
          <w:sz w:val="24"/>
          <w:szCs w:val="24"/>
        </w:rPr>
        <w:t>k</w:t>
      </w:r>
      <w:r>
        <w:rPr>
          <w:rFonts w:cs="Times New Roman" w:ascii="Times New Roman" w:hAnsi="Times New Roman"/>
          <w:sz w:val="24"/>
          <w:szCs w:val="24"/>
        </w:rPr>
        <w:t xml:space="preserve"> vs </w:t>
      </w:r>
      <w:r>
        <w:rPr>
          <w:rFonts w:cs="Times New Roman" w:ascii="Times New Roman" w:hAnsi="Times New Roman"/>
          <w:b/>
          <w:sz w:val="24"/>
          <w:szCs w:val="24"/>
        </w:rPr>
        <w:t>1/</w:t>
      </w:r>
      <w:r>
        <w:rPr>
          <w:rFonts w:cs="Times New Roman" w:ascii="Times New Roman" w:hAnsi="Times New Roman"/>
          <w:b/>
          <w:i/>
          <w:sz w:val="24"/>
          <w:szCs w:val="24"/>
        </w:rPr>
        <w:t>T</w:t>
      </w:r>
      <w:r>
        <w:rPr>
          <w:rFonts w:cs="Times New Roman" w:ascii="Times New Roman" w:hAnsi="Times New Roman"/>
          <w:sz w:val="24"/>
          <w:szCs w:val="24"/>
        </w:rPr>
        <w:t xml:space="preserve">.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Como os valores de </w:t>
      </w:r>
      <w:r>
        <w:rPr>
          <w:rFonts w:cs="Times New Roman" w:ascii="Times New Roman" w:hAnsi="Times New Roman"/>
          <w:b/>
          <w:i/>
          <w:sz w:val="24"/>
          <w:szCs w:val="24"/>
        </w:rPr>
        <w:t>1/T</w:t>
      </w:r>
      <w:r>
        <w:rPr>
          <w:rFonts w:cs="Times New Roman" w:ascii="Times New Roman" w:hAnsi="Times New Roman"/>
          <w:sz w:val="24"/>
          <w:szCs w:val="24"/>
        </w:rPr>
        <w:t xml:space="preserve"> serão muito baixos, é conveniente multiplicar por 1000, obtendo o resultado da energia de ativação de cristalização </w:t>
      </w:r>
      <w:r>
        <w:rPr>
          <w:rFonts w:cs="Times New Roman" w:ascii="Times New Roman" w:hAnsi="Times New Roman"/>
          <w:b/>
          <w:i/>
          <w:sz w:val="24"/>
          <w:szCs w:val="24"/>
        </w:rPr>
        <w:t>Ea</w:t>
      </w:r>
      <w:r>
        <w:rPr>
          <w:rFonts w:cs="Times New Roman" w:ascii="Times New Roman" w:hAnsi="Times New Roman"/>
          <w:sz w:val="24"/>
          <w:szCs w:val="24"/>
        </w:rPr>
        <w:t xml:space="preserve"> em KJ/mol, de acordo com a figura 44.</w:t>
      </w:r>
    </w:p>
    <w:p>
      <w:pPr>
        <w:pStyle w:val="Normal"/>
        <w:spacing w:lineRule="auto" w:line="360" w:before="0" w:after="0"/>
        <w:ind w:right="61" w:hanging="0"/>
        <w:jc w:val="both"/>
        <w:rPr>
          <w:rFonts w:ascii="Times New Roman" w:hAnsi="Times New Roman" w:eastAsia="Times New Roman" w:cs="Times New Roman"/>
          <w:bCs/>
          <w:color w:val="000000"/>
          <w:sz w:val="24"/>
          <w:szCs w:val="24"/>
          <w:lang w:eastAsia="pt-BR"/>
        </w:rPr>
      </w:pPr>
      <w:r>
        <w:rPr>
          <w:rFonts w:eastAsia="Times New Roman" w:cs="Times New Roman" w:ascii="Times New Roman" w:hAnsi="Times New Roman"/>
          <w:bCs/>
          <w:color w:val="000000"/>
          <w:sz w:val="24"/>
          <w:szCs w:val="24"/>
          <w:lang w:eastAsia="pt-BR"/>
        </w:rPr>
      </w:r>
    </w:p>
    <w:p>
      <w:pPr>
        <w:pStyle w:val="Normal"/>
        <w:spacing w:lineRule="auto" w:line="360" w:before="0" w:after="0"/>
        <w:ind w:right="61" w:hanging="0"/>
        <w:jc w:val="both"/>
        <w:rPr>
          <w:rFonts w:ascii="Times New Roman" w:hAnsi="Times New Roman" w:eastAsia="Times New Roman" w:cs="Times New Roman"/>
          <w:bCs/>
          <w:color w:val="000000"/>
          <w:sz w:val="24"/>
          <w:szCs w:val="24"/>
          <w:lang w:eastAsia="pt-BR"/>
        </w:rPr>
      </w:pPr>
      <w:r>
        <w:rPr>
          <w:rFonts w:eastAsia="Times New Roman" w:cs="Times New Roman" w:ascii="Times New Roman" w:hAnsi="Times New Roman"/>
          <w:bCs/>
          <w:color w:val="000000"/>
          <w:sz w:val="24"/>
          <w:szCs w:val="24"/>
          <w:lang w:eastAsia="pt-BR"/>
        </w:rPr>
      </w:r>
    </w:p>
    <w:p>
      <w:pPr>
        <w:pStyle w:val="Normal"/>
        <w:spacing w:lineRule="auto" w:line="360" w:before="0" w:after="0"/>
        <w:ind w:right="61" w:hanging="0"/>
        <w:jc w:val="both"/>
        <w:rPr>
          <w:rFonts w:ascii="Times New Roman" w:hAnsi="Times New Roman" w:eastAsia="Times New Roman" w:cs="Times New Roman"/>
          <w:bCs/>
          <w:color w:val="000000"/>
          <w:sz w:val="24"/>
          <w:szCs w:val="24"/>
          <w:lang w:eastAsia="pt-BR"/>
        </w:rPr>
      </w:pPr>
      <w:r>
        <w:rPr>
          <w:rFonts w:eastAsia="Times New Roman" w:cs="Times New Roman" w:ascii="Times New Roman" w:hAnsi="Times New Roman"/>
          <w:bCs/>
          <w:color w:val="000000"/>
          <w:sz w:val="24"/>
          <w:szCs w:val="24"/>
          <w:lang w:eastAsia="pt-BR"/>
        </w:rPr>
      </w:r>
    </w:p>
    <w:p>
      <w:pPr>
        <w:pStyle w:val="Normal"/>
        <w:spacing w:lineRule="auto" w:line="360" w:before="0" w:after="0"/>
        <w:ind w:left="284" w:hanging="0"/>
        <w:jc w:val="both"/>
        <w:rPr>
          <w:rFonts w:ascii="Times New Roman" w:hAnsi="Times New Roman" w:cs="Times New Roman"/>
          <w:sz w:val="24"/>
          <w:szCs w:val="24"/>
        </w:rPr>
      </w:pPr>
      <w:bookmarkStart w:id="174" w:name="_Hlk156895410"/>
      <w:r>
        <w:rPr>
          <w:rFonts w:eastAsia="Times New Roman" w:cs="Times New Roman" w:ascii="Times New Roman" w:hAnsi="Times New Roman"/>
          <w:bCs/>
          <w:color w:val="000000"/>
          <w:sz w:val="24"/>
          <w:szCs w:val="24"/>
          <w:lang w:eastAsia="pt-BR"/>
        </w:rPr>
        <w:t xml:space="preserve">Figura 44 - Diagrama da </w:t>
      </w:r>
      <w:r>
        <w:rPr>
          <w:rFonts w:eastAsia="Times New Roman" w:cs="Times New Roman" w:ascii="Times New Roman" w:hAnsi="Times New Roman"/>
          <w:b/>
          <w:bCs/>
          <w:i/>
          <w:color w:val="000000"/>
          <w:sz w:val="24"/>
          <w:szCs w:val="24"/>
          <w:lang w:eastAsia="pt-BR"/>
        </w:rPr>
        <w:t>Ea</w:t>
      </w:r>
      <w:r>
        <w:rPr>
          <w:rFonts w:eastAsia="Times New Roman" w:cs="Times New Roman" w:ascii="Times New Roman" w:hAnsi="Times New Roman"/>
          <w:bCs/>
          <w:color w:val="000000"/>
          <w:sz w:val="24"/>
          <w:szCs w:val="24"/>
          <w:lang w:eastAsia="pt-BR"/>
        </w:rPr>
        <w:t xml:space="preserve"> para cristalização dos pós fluxantes A, B e D.</w:t>
      </w:r>
      <w:bookmarkEnd w:id="174"/>
      <w:r>
        <w:rPr>
          <w:rFonts w:cs="Times New Roman" w:ascii="Times New Roman" w:hAnsi="Times New Roman"/>
          <w:sz w:val="24"/>
          <w:szCs w:val="24"/>
        </w:rPr>
        <w:t xml:space="preserve"> </w:t>
      </w:r>
    </w:p>
    <w:p>
      <w:pPr>
        <w:pStyle w:val="Normal"/>
        <w:spacing w:lineRule="auto" w:line="360" w:before="0" w:after="0"/>
        <w:ind w:right="-142" w:hanging="0"/>
        <w:jc w:val="center"/>
        <w:rPr>
          <w:rFonts w:ascii="Calibri" w:hAnsi="Calibri" w:eastAsia="Times New Roman" w:cs="Calibri"/>
          <w:bCs/>
          <w:color w:val="000000"/>
          <w:lang w:eastAsia="pt-BR"/>
        </w:rPr>
      </w:pPr>
      <w:r>
        <w:rPr/>
        <w:drawing>
          <wp:inline distT="0" distB="4445" distL="0" distR="0">
            <wp:extent cx="5400040" cy="3005455"/>
            <wp:effectExtent l="0" t="0" r="0" b="0"/>
            <wp:docPr id="52" name="Imagem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31" descr=""/>
                    <pic:cNvPicPr>
                      <a:picLocks noChangeAspect="1" noChangeArrowheads="1"/>
                    </pic:cNvPicPr>
                  </pic:nvPicPr>
                  <pic:blipFill>
                    <a:blip r:embed="rId51"/>
                    <a:srcRect l="9697" t="0" r="9028" b="19547"/>
                    <a:stretch>
                      <a:fillRect/>
                    </a:stretch>
                  </pic:blipFill>
                  <pic:spPr bwMode="auto">
                    <a:xfrm>
                      <a:off x="0" y="0"/>
                      <a:ext cx="5400040" cy="3005455"/>
                    </a:xfrm>
                    <a:prstGeom prst="rect">
                      <a:avLst/>
                    </a:prstGeom>
                  </pic:spPr>
                </pic:pic>
              </a:graphicData>
            </a:graphic>
          </wp:inline>
        </w:drawing>
      </w:r>
    </w:p>
    <w:p>
      <w:pPr>
        <w:pStyle w:val="Corpodetexto"/>
        <w:spacing w:lineRule="auto" w:line="360" w:before="0" w:after="0"/>
        <w:ind w:left="284" w:hanging="0"/>
        <w:jc w:val="both"/>
        <w:rPr>
          <w:rFonts w:ascii="Times New Roman" w:hAnsi="Times New Roman" w:cs="Times New Roman"/>
          <w:sz w:val="20"/>
          <w:szCs w:val="20"/>
        </w:rPr>
      </w:pPr>
      <w:r>
        <w:rPr>
          <w:rFonts w:cs="Times New Roman" w:ascii="Times New Roman" w:hAnsi="Times New Roman"/>
          <w:color w:val="121412"/>
          <w:sz w:val="20"/>
          <w:szCs w:val="20"/>
        </w:rPr>
        <w:t xml:space="preserve">Fonte: Fluxante - A, AUTOR (2024); Fluxantes B e D - </w:t>
      </w:r>
      <w:r>
        <w:rPr>
          <w:rFonts w:cs="Times New Roman" w:ascii="Times New Roman" w:hAnsi="Times New Roman"/>
          <w:w w:val="105"/>
          <w:sz w:val="20"/>
          <w:szCs w:val="20"/>
        </w:rPr>
        <w:t>MYUNG-DUK</w:t>
      </w:r>
      <w:r>
        <w:rPr>
          <w:rFonts w:cs="Times New Roman" w:ascii="Times New Roman" w:hAnsi="Times New Roman"/>
          <w:spacing w:val="-9"/>
          <w:w w:val="105"/>
          <w:sz w:val="20"/>
          <w:szCs w:val="20"/>
        </w:rPr>
        <w:t xml:space="preserve"> </w:t>
      </w:r>
      <w:r>
        <w:rPr>
          <w:rFonts w:cs="Times New Roman" w:ascii="Times New Roman" w:hAnsi="Times New Roman"/>
          <w:w w:val="105"/>
          <w:sz w:val="20"/>
          <w:szCs w:val="20"/>
        </w:rPr>
        <w:t>SEO et. al. (2015, com adaptações).</w:t>
      </w:r>
    </w:p>
    <w:p>
      <w:pPr>
        <w:pStyle w:val="Normal"/>
        <w:spacing w:lineRule="auto" w:line="324" w:before="0" w:after="0"/>
        <w:ind w:right="425" w:hanging="0"/>
        <w:jc w:val="both"/>
        <w:rPr>
          <w:rFonts w:ascii="Times New Roman" w:hAnsi="Times New Roman" w:eastAsia="Times New Roman" w:cs="Times New Roman"/>
          <w:bCs/>
          <w:color w:val="000000"/>
          <w:sz w:val="24"/>
          <w:szCs w:val="20"/>
          <w:lang w:eastAsia="pt-BR"/>
        </w:rPr>
      </w:pPr>
      <w:r>
        <w:rPr>
          <w:rFonts w:eastAsia="Times New Roman" w:cs="Times New Roman" w:ascii="Times New Roman" w:hAnsi="Times New Roman"/>
          <w:bCs/>
          <w:color w:val="000000"/>
          <w:sz w:val="24"/>
          <w:szCs w:val="20"/>
          <w:lang w:eastAsia="pt-BR"/>
        </w:rPr>
      </w:r>
    </w:p>
    <w:p>
      <w:pPr>
        <w:pStyle w:val="Normal"/>
        <w:spacing w:lineRule="auto" w:line="360" w:before="0" w:after="0"/>
        <w:ind w:right="61" w:firstLine="1134"/>
        <w:jc w:val="both"/>
        <w:rPr>
          <w:rFonts w:ascii="Times New Roman" w:hAnsi="Times New Roman" w:cs="Times New Roman"/>
          <w:sz w:val="24"/>
          <w:szCs w:val="24"/>
        </w:rPr>
      </w:pPr>
      <w:r>
        <w:rPr>
          <w:rFonts w:eastAsia="Times New Roman" w:cs="Times New Roman" w:ascii="Times New Roman" w:hAnsi="Times New Roman"/>
          <w:bCs/>
          <w:color w:val="000000"/>
          <w:sz w:val="24"/>
          <w:lang w:eastAsia="pt-BR"/>
        </w:rPr>
        <w:t>Pela equação da reta gerada pelo gráfico (</w:t>
      </w:r>
      <w:r>
        <w:rPr>
          <w:rFonts w:cs="Times New Roman" w:ascii="Times New Roman" w:hAnsi="Times New Roman"/>
          <w:sz w:val="24"/>
          <w:szCs w:val="24"/>
        </w:rPr>
        <w:t>ln k) vs 1000/Tc (</w:t>
      </w:r>
      <w:r>
        <w:rPr>
          <w:rFonts w:eastAsia="Times New Roman" w:cs="Times New Roman" w:ascii="Times New Roman" w:hAnsi="Times New Roman"/>
          <w:bCs/>
          <w:color w:val="000000"/>
          <w:sz w:val="24"/>
          <w:lang w:val="en-US"/>
        </w:rPr>
        <w:t>y = 277,52n - 233,73) com R</w:t>
      </w:r>
      <w:r>
        <w:rPr>
          <w:rFonts w:eastAsia="Times New Roman" w:cs="Times New Roman" w:ascii="Times New Roman" w:hAnsi="Times New Roman"/>
          <w:bCs/>
          <w:color w:val="000000"/>
          <w:sz w:val="24"/>
          <w:vertAlign w:val="superscript"/>
          <w:lang w:val="en-US"/>
        </w:rPr>
        <w:t>2</w:t>
      </w:r>
      <w:r>
        <w:rPr>
          <w:rFonts w:eastAsia="Times New Roman" w:cs="Times New Roman" w:ascii="Times New Roman" w:hAnsi="Times New Roman"/>
          <w:bCs/>
          <w:color w:val="000000"/>
          <w:sz w:val="24"/>
          <w:lang w:val="en-US"/>
        </w:rPr>
        <w:t xml:space="preserve"> de 0,9802 </w:t>
      </w:r>
      <w:r>
        <w:rPr>
          <w:rFonts w:eastAsia="Times New Roman" w:cs="Times New Roman" w:ascii="Times New Roman" w:hAnsi="Times New Roman"/>
          <w:bCs/>
          <w:color w:val="000000"/>
          <w:sz w:val="24"/>
          <w:szCs w:val="24"/>
          <w:lang w:val="en-US"/>
        </w:rPr>
        <w:t xml:space="preserve">(R² </w:t>
      </w:r>
      <w:r>
        <w:rPr>
          <w:rFonts w:cs="Times New Roman" w:ascii="Times New Roman" w:hAnsi="Times New Roman"/>
          <w:color w:val="040C28"/>
          <w:sz w:val="24"/>
          <w:szCs w:val="24"/>
        </w:rPr>
        <w:t>representa a porcentagem de variação na resposta que é explicada pelo modelo</w:t>
      </w:r>
      <w:r>
        <w:rPr>
          <w:rFonts w:cs="Times New Roman" w:ascii="Times New Roman" w:hAnsi="Times New Roman"/>
          <w:color w:val="202124"/>
          <w:sz w:val="24"/>
          <w:szCs w:val="24"/>
          <w:shd w:fill="FFFFFF" w:val="clear"/>
        </w:rPr>
        <w:t>. Ele é calculado como 1 menos a razão da soma dos quadrados dos erros, que é a variação que não é explicada pelo modelo, para a soma total dos quadrados, que é a variação total no modelo)</w:t>
      </w:r>
      <w:r>
        <w:rPr>
          <w:rFonts w:eastAsia="Times New Roman" w:cs="Times New Roman" w:ascii="Times New Roman" w:hAnsi="Times New Roman"/>
          <w:bCs/>
          <w:color w:val="000000"/>
          <w:sz w:val="24"/>
          <w:lang w:val="en-US"/>
        </w:rPr>
        <w:t xml:space="preserve"> </w:t>
      </w:r>
      <w:r>
        <w:rPr>
          <w:rFonts w:cs="Times New Roman" w:ascii="Times New Roman" w:hAnsi="Times New Roman"/>
          <w:sz w:val="24"/>
          <w:szCs w:val="24"/>
        </w:rPr>
        <w:t xml:space="preserve">calculamos a energia de ativação para crescimento linear dos cristais, utilizando a constante R = 8,314 J/mol. </w:t>
      </w:r>
    </w:p>
    <w:p>
      <w:pPr>
        <w:pStyle w:val="Normal"/>
        <w:spacing w:lineRule="auto" w:line="360" w:before="240" w:after="0"/>
        <w:ind w:right="61" w:firstLine="1134"/>
        <w:jc w:val="both"/>
        <w:rPr>
          <w:rFonts w:ascii="Times New Roman" w:hAnsi="Times New Roman" w:eastAsia="Times New Roman" w:cs="Times New Roman"/>
          <w:b/>
          <w:b/>
          <w:bCs/>
          <w:sz w:val="24"/>
          <w:lang w:eastAsia="pt-BR"/>
        </w:rPr>
      </w:pPr>
      <w:r>
        <w:rPr>
          <w:rFonts w:eastAsia="Times New Roman" w:cs="Times New Roman" w:ascii="Times New Roman" w:hAnsi="Times New Roman"/>
          <w:bCs/>
          <w:sz w:val="24"/>
          <w:lang w:eastAsia="pt-BR"/>
        </w:rPr>
        <w:t xml:space="preserve">Ea/R = -277,52 → </w:t>
      </w:r>
      <w:r>
        <w:rPr>
          <w:rFonts w:eastAsia="Times New Roman" w:cs="Times New Roman" w:ascii="Times New Roman" w:hAnsi="Times New Roman"/>
          <w:b/>
          <w:bCs/>
          <w:sz w:val="24"/>
          <w:lang w:eastAsia="pt-BR"/>
        </w:rPr>
        <w:t>Ea = -2.307,3 KJ/mol</w:t>
      </w:r>
    </w:p>
    <w:p>
      <w:pPr>
        <w:pStyle w:val="Normal"/>
        <w:spacing w:lineRule="auto" w:line="360" w:before="240" w:after="0"/>
        <w:ind w:right="61" w:firstLine="1134"/>
        <w:jc w:val="both"/>
        <w:rPr>
          <w:rFonts w:ascii="Times New Roman" w:hAnsi="Times New Roman" w:cs="Times New Roman"/>
          <w:sz w:val="24"/>
          <w:szCs w:val="24"/>
        </w:rPr>
      </w:pPr>
      <w:bookmarkStart w:id="175" w:name="_Hlk160780136"/>
      <w:bookmarkEnd w:id="173"/>
      <w:bookmarkEnd w:id="175"/>
      <w:r>
        <w:rPr>
          <w:rFonts w:cs="Times New Roman" w:ascii="Times New Roman" w:hAnsi="Times New Roman"/>
          <w:sz w:val="24"/>
          <w:szCs w:val="24"/>
        </w:rPr>
        <w:t>A energia de ativação negativa indica que a cristalização mostra um comportamento anti-Arrhenius, pois a velocidade da transformação aumenta com a redução da temperatura.</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Considerando que o valor da </w:t>
      </w:r>
      <w:r>
        <w:rPr>
          <w:rFonts w:cs="Times New Roman" w:ascii="Times New Roman" w:hAnsi="Times New Roman"/>
          <w:b/>
          <w:i/>
          <w:sz w:val="24"/>
          <w:szCs w:val="24"/>
        </w:rPr>
        <w:t>Ea</w:t>
      </w:r>
      <w:r>
        <w:rPr>
          <w:rFonts w:cs="Times New Roman" w:ascii="Times New Roman" w:hAnsi="Times New Roman"/>
          <w:sz w:val="24"/>
          <w:szCs w:val="24"/>
        </w:rPr>
        <w:t xml:space="preserve"> seja constante, a taxa de nucleação </w:t>
      </w:r>
      <w:r>
        <w:rPr>
          <w:rFonts w:cs="Times New Roman" w:ascii="Times New Roman" w:hAnsi="Times New Roman"/>
          <w:b/>
          <w:i/>
          <w:sz w:val="24"/>
          <w:szCs w:val="24"/>
        </w:rPr>
        <w:t>N</w:t>
      </w:r>
      <w:r>
        <w:rPr>
          <w:rFonts w:cs="Times New Roman" w:ascii="Times New Roman" w:hAnsi="Times New Roman"/>
          <w:sz w:val="24"/>
          <w:szCs w:val="24"/>
        </w:rPr>
        <w:t xml:space="preserve"> é governada apenas pelo termo termodinâmico da variação de energia livre </w:t>
      </w:r>
      <w:r>
        <w:rPr>
          <w:rFonts w:cs="Times New Roman" w:ascii="Times New Roman" w:hAnsi="Times New Roman"/>
          <w:b/>
          <w:i/>
          <w:sz w:val="24"/>
          <w:szCs w:val="24"/>
        </w:rPr>
        <w:t>ΔG*</w:t>
      </w:r>
      <w:r>
        <w:rPr>
          <w:rFonts w:cs="Times New Roman" w:ascii="Times New Roman" w:hAnsi="Times New Roman"/>
          <w:sz w:val="24"/>
          <w:szCs w:val="24"/>
        </w:rPr>
        <w:t xml:space="preserve">. </w:t>
      </w:r>
    </w:p>
    <w:p>
      <w:pPr>
        <w:pStyle w:val="Normal"/>
        <w:spacing w:lineRule="auto" w:line="360" w:before="0" w:after="0"/>
        <w:ind w:firstLine="1134"/>
        <w:jc w:val="both"/>
        <w:rPr>
          <w:rFonts w:ascii="Times New Roman" w:hAnsi="Times New Roman" w:cs="Times New Roman"/>
          <w:sz w:val="24"/>
          <w:szCs w:val="16"/>
        </w:rPr>
      </w:pPr>
      <w:r>
        <w:rPr>
          <w:rFonts w:cs="Times New Roman" w:ascii="Times New Roman" w:hAnsi="Times New Roman"/>
          <w:b/>
          <w:i/>
          <w:sz w:val="24"/>
          <w:szCs w:val="24"/>
        </w:rPr>
        <w:t>ΔG*</w:t>
      </w:r>
      <w:r>
        <w:rPr>
          <w:rFonts w:cs="Times New Roman" w:ascii="Times New Roman" w:hAnsi="Times New Roman"/>
          <w:sz w:val="24"/>
          <w:szCs w:val="24"/>
        </w:rPr>
        <w:t xml:space="preserve"> é inversamente proporcional ao grau de super-resfriamento.</w:t>
      </w:r>
    </w:p>
    <w:p>
      <w:pPr>
        <w:pStyle w:val="Normal"/>
        <w:spacing w:lineRule="auto" w:line="360" w:before="240" w:after="140"/>
        <w:ind w:firstLine="1134"/>
        <w:jc w:val="both"/>
        <w:rPr>
          <w:rFonts w:ascii="Times New Roman" w:hAnsi="Times New Roman" w:cs="Times New Roman"/>
          <w:sz w:val="24"/>
          <w:szCs w:val="24"/>
        </w:rPr>
      </w:pPr>
      <w:r>
        <w:rPr/>
      </w:r>
      <m:oMath xmlns:m="http://schemas.openxmlformats.org/officeDocument/2006/math">
        <m:sSup>
          <m:e>
            <m:r>
              <w:rPr>
                <w:rFonts w:ascii="Cambria Math" w:hAnsi="Cambria Math"/>
              </w:rPr>
              <m:t xml:space="preserve">∆</m:t>
            </m:r>
            <m:r>
              <w:rPr>
                <w:rFonts w:ascii="Cambria Math" w:hAnsi="Cambria Math"/>
              </w:rPr>
              <m:t xml:space="preserve">G</m:t>
            </m:r>
          </m:e>
          <m:sup/>
        </m:sSup>
        <m:r>
          <w:rPr>
            <w:rFonts w:ascii="Cambria Math" w:hAnsi="Cambria Math"/>
          </w:rPr>
          <m:t xml:space="preserve">≈</m:t>
        </m:r>
        <m:f>
          <m:num>
            <m:r>
              <w:rPr>
                <w:rFonts w:ascii="Cambria Math" w:hAnsi="Cambria Math"/>
              </w:rPr>
              <m:t xml:space="preserve">1</m:t>
            </m:r>
          </m:num>
          <m:den>
            <m:sSup>
              <m:e>
                <m:d>
                  <m:dPr>
                    <m:begChr m:val="("/>
                    <m:endChr m:val=")"/>
                  </m:dPr>
                  <m:e>
                    <m:sSub>
                      <m:e>
                        <m:r>
                          <w:rPr>
                            <w:rFonts w:ascii="Cambria Math" w:hAnsi="Cambria Math"/>
                          </w:rPr>
                          <m:t xml:space="preserve">T</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c</m:t>
                        </m:r>
                      </m:sub>
                    </m:sSub>
                  </m:e>
                </m:d>
              </m:e>
              <m:sup>
                <m:r>
                  <w:rPr>
                    <w:rFonts w:ascii="Cambria Math" w:hAnsi="Cambria Math"/>
                  </w:rPr>
                  <m:t xml:space="preserve">2</m:t>
                </m:r>
              </m:sup>
            </m:sSup>
          </m:den>
        </m:f>
      </m:oMath>
      <w:r>
        <w:rPr>
          <w:rFonts w:cs="Times New Roman" w:ascii="Times New Roman" w:hAnsi="Times New Roman"/>
          <w:b/>
          <w:sz w:val="24"/>
          <w:szCs w:val="24"/>
        </w:rPr>
        <w:t xml:space="preserve">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Onde </w:t>
      </w:r>
      <w:r>
        <w:rPr>
          <w:rFonts w:cs="Times New Roman" w:ascii="Times New Roman" w:hAnsi="Times New Roman"/>
          <w:b/>
          <w:i/>
          <w:sz w:val="24"/>
          <w:szCs w:val="24"/>
        </w:rPr>
        <w:t>T</w:t>
      </w:r>
      <w:r>
        <w:rPr>
          <w:rFonts w:cs="Times New Roman" w:ascii="Times New Roman" w:hAnsi="Times New Roman"/>
          <w:b/>
          <w:i/>
          <w:sz w:val="24"/>
          <w:szCs w:val="24"/>
          <w:vertAlign w:val="subscript"/>
        </w:rPr>
        <w:t>l</w:t>
      </w:r>
      <w:r>
        <w:rPr>
          <w:rFonts w:cs="Times New Roman" w:ascii="Times New Roman" w:hAnsi="Times New Roman"/>
          <w:sz w:val="24"/>
          <w:szCs w:val="24"/>
        </w:rPr>
        <w:t xml:space="preserve"> é a temperatura </w:t>
      </w:r>
      <w:r>
        <w:rPr>
          <w:rFonts w:cs="Times New Roman" w:ascii="Times New Roman" w:hAnsi="Times New Roman"/>
          <w:i/>
          <w:sz w:val="24"/>
          <w:szCs w:val="24"/>
        </w:rPr>
        <w:t>liquidus</w:t>
      </w:r>
      <w:r>
        <w:rPr>
          <w:rFonts w:cs="Times New Roman" w:ascii="Times New Roman" w:hAnsi="Times New Roman"/>
          <w:sz w:val="24"/>
          <w:szCs w:val="24"/>
        </w:rPr>
        <w:t xml:space="preserve"> e </w:t>
      </w:r>
      <w:r>
        <w:rPr>
          <w:rFonts w:cs="Times New Roman" w:ascii="Times New Roman" w:hAnsi="Times New Roman"/>
          <w:b/>
          <w:i/>
          <w:sz w:val="24"/>
          <w:szCs w:val="24"/>
        </w:rPr>
        <w:t>Tc</w:t>
      </w:r>
      <w:r>
        <w:rPr>
          <w:rFonts w:cs="Times New Roman" w:ascii="Times New Roman" w:hAnsi="Times New Roman"/>
          <w:sz w:val="24"/>
          <w:szCs w:val="24"/>
        </w:rPr>
        <w:t xml:space="preserve"> é a temperatura de cristalização do pó fluxante. (</w:t>
      </w:r>
      <w:r>
        <w:rPr>
          <w:rFonts w:cs="Times New Roman" w:ascii="Times New Roman" w:hAnsi="Times New Roman"/>
          <w:b/>
          <w:i/>
          <w:sz w:val="24"/>
          <w:szCs w:val="24"/>
        </w:rPr>
        <w:t>T</w:t>
      </w:r>
      <w:r>
        <w:rPr>
          <w:rFonts w:cs="Times New Roman" w:ascii="Times New Roman" w:hAnsi="Times New Roman"/>
          <w:b/>
          <w:i/>
          <w:sz w:val="24"/>
          <w:szCs w:val="24"/>
          <w:vertAlign w:val="subscript"/>
        </w:rPr>
        <w:t>l</w:t>
      </w:r>
      <w:r>
        <w:rPr>
          <w:rFonts w:cs="Times New Roman" w:ascii="Times New Roman" w:hAnsi="Times New Roman"/>
          <w:b/>
          <w:i/>
          <w:sz w:val="24"/>
          <w:szCs w:val="24"/>
        </w:rPr>
        <w:t xml:space="preserve"> – Tc)</w:t>
      </w:r>
      <w:r>
        <w:rPr>
          <w:rFonts w:cs="Times New Roman" w:ascii="Times New Roman" w:hAnsi="Times New Roman"/>
          <w:sz w:val="24"/>
          <w:szCs w:val="24"/>
        </w:rPr>
        <w:t xml:space="preserve"> significa o grau de super-resfriamento.</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Assim, quanto maior o super-resfriamento, menor é a energia necessária para a formação de núcleos estáveis </w:t>
      </w:r>
      <w:r>
        <w:rPr>
          <w:rFonts w:cs="Times New Roman" w:ascii="Times New Roman" w:hAnsi="Times New Roman"/>
          <w:b/>
          <w:i/>
          <w:sz w:val="24"/>
          <w:szCs w:val="24"/>
        </w:rPr>
        <w:t>ΔG*</w:t>
      </w:r>
      <w:r>
        <w:rPr>
          <w:rFonts w:cs="Times New Roman" w:ascii="Times New Roman" w:hAnsi="Times New Roman"/>
          <w:sz w:val="24"/>
          <w:szCs w:val="24"/>
        </w:rPr>
        <w:t>. Desse modo, a cristalização do material irá ter muitos núcleos de pouco crescimento e vice-versa.</w:t>
      </w:r>
    </w:p>
    <w:p>
      <w:pPr>
        <w:pStyle w:val="Normal"/>
        <w:tabs>
          <w:tab w:val="left" w:pos="1134" w:leader="none"/>
        </w:tabs>
        <w:spacing w:lineRule="auto" w:line="360"/>
        <w:ind w:firstLine="1134"/>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O super-resfriamento do pó fluxante A é de 45,5K, calculado a partir dos dados de temperatura </w:t>
      </w:r>
      <w:r>
        <w:rPr>
          <w:rFonts w:cs="Times New Roman" w:ascii="Times New Roman" w:hAnsi="Times New Roman"/>
          <w:i/>
          <w:iCs/>
          <w:sz w:val="24"/>
          <w:szCs w:val="24"/>
          <w:lang w:val="en-US"/>
        </w:rPr>
        <w:t>liquidus</w:t>
      </w:r>
      <w:r>
        <w:rPr>
          <w:rFonts w:cs="Times New Roman" w:ascii="Times New Roman" w:hAnsi="Times New Roman"/>
          <w:sz w:val="24"/>
          <w:szCs w:val="24"/>
          <w:lang w:val="en-US"/>
        </w:rPr>
        <w:t xml:space="preserve"> (1.426,8K) e de temperatura de cristalização</w:t>
      </w:r>
      <w:r>
        <w:rPr>
          <w:rFonts w:cs="Times New Roman" w:ascii="Times New Roman" w:hAnsi="Times New Roman"/>
          <w:i/>
          <w:iCs/>
          <w:sz w:val="24"/>
          <w:szCs w:val="24"/>
          <w:lang w:val="en-US"/>
        </w:rPr>
        <w:t xml:space="preserve"> </w:t>
      </w:r>
      <w:r>
        <w:rPr>
          <w:rFonts w:cs="Times New Roman" w:ascii="Times New Roman" w:hAnsi="Times New Roman"/>
          <w:iCs/>
          <w:sz w:val="24"/>
          <w:szCs w:val="24"/>
          <w:lang w:val="en-US"/>
        </w:rPr>
        <w:t>(1.381,3K)</w:t>
      </w:r>
      <w:r>
        <w:rPr>
          <w:rFonts w:cs="Times New Roman" w:ascii="Times New Roman" w:hAnsi="Times New Roman"/>
          <w:i/>
          <w:iCs/>
          <w:sz w:val="24"/>
          <w:szCs w:val="24"/>
          <w:lang w:val="en-US"/>
        </w:rPr>
        <w:t xml:space="preserve">, </w:t>
      </w:r>
      <w:r>
        <w:rPr>
          <w:rFonts w:cs="Times New Roman" w:ascii="Times New Roman" w:hAnsi="Times New Roman"/>
          <w:sz w:val="24"/>
          <w:szCs w:val="24"/>
          <w:lang w:val="en-US"/>
        </w:rPr>
        <w:t>extraídos das análises de DSC.</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360" w:before="4" w:after="0"/>
        <w:rPr>
          <w:rFonts w:ascii="Times New Roman" w:hAnsi="Times New Roman" w:cs="Times New Roman"/>
          <w:b/>
          <w:b/>
          <w:sz w:val="24"/>
          <w:szCs w:val="24"/>
        </w:rPr>
      </w:pPr>
      <w:bookmarkStart w:id="176" w:name="_Hlk153809174"/>
      <w:bookmarkStart w:id="177" w:name="_Hlk160780136"/>
      <w:bookmarkEnd w:id="176"/>
      <w:bookmarkEnd w:id="177"/>
      <w:r>
        <w:rPr>
          <w:rFonts w:cs="Times New Roman" w:ascii="Times New Roman" w:hAnsi="Times New Roman"/>
          <w:b/>
          <w:sz w:val="24"/>
          <w:szCs w:val="24"/>
        </w:rPr>
        <w:t>5.3 Morfologia do cristal</w:t>
      </w:r>
      <w:bookmarkStart w:id="178" w:name="_Hlk156919394"/>
      <w:bookmarkEnd w:id="178"/>
    </w:p>
    <w:p>
      <w:pPr>
        <w:pStyle w:val="Corpodetexto"/>
        <w:spacing w:lineRule="auto" w:line="360" w:before="4"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480" w:before="0" w:after="0"/>
        <w:ind w:firstLine="708"/>
        <w:jc w:val="both"/>
        <w:rPr>
          <w:rFonts w:ascii="Times New Roman" w:hAnsi="Times New Roman" w:cs="Times New Roman"/>
          <w:sz w:val="24"/>
          <w:szCs w:val="24"/>
        </w:rPr>
      </w:pPr>
      <w:r>
        <w:rPr>
          <w:rFonts w:cs="Times New Roman" w:ascii="Times New Roman" w:hAnsi="Times New Roman"/>
          <w:sz w:val="24"/>
          <w:szCs w:val="24"/>
        </w:rPr>
        <w:t>A imagem (Figura 45) de microscópio eletrônico de varredura do pó fluxante A, livre de F, mostra os primeiros cristais formados a 1090 °C (ou a uma temperatura mais alta) durante o resfriamento contínuo de 1400 °C a 5 °C/min dentro da região de de transformação vítrea indicada pela DSC.</w:t>
      </w:r>
    </w:p>
    <w:p>
      <w:pPr>
        <w:pStyle w:val="Corpodetexto"/>
        <w:spacing w:lineRule="auto" w:line="360" w:before="0" w:after="0"/>
        <w:ind w:firstLine="12"/>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360" w:before="0" w:after="0"/>
        <w:ind w:left="993" w:firstLine="12"/>
        <w:jc w:val="both"/>
        <w:rPr>
          <w:rFonts w:ascii="Times New Roman" w:hAnsi="Times New Roman" w:cs="Times New Roman"/>
          <w:sz w:val="24"/>
          <w:szCs w:val="24"/>
        </w:rPr>
      </w:pPr>
      <w:r>
        <w:rPr>
          <w:rFonts w:cs="Times New Roman" w:ascii="Times New Roman" w:hAnsi="Times New Roman"/>
          <w:sz w:val="24"/>
          <w:szCs w:val="24"/>
        </w:rPr>
        <w:t>Figura 45 - MEV do pó fluxante A.</w:t>
      </w:r>
      <w:bookmarkStart w:id="179" w:name="_Hlk156895427"/>
      <w:bookmarkEnd w:id="179"/>
    </w:p>
    <w:p>
      <w:pPr>
        <w:pStyle w:val="Normal"/>
        <w:tabs>
          <w:tab w:val="left" w:pos="6663" w:leader="none"/>
        </w:tabs>
        <w:spacing w:lineRule="auto" w:line="240" w:before="0" w:after="0"/>
        <w:jc w:val="center"/>
        <w:rPr>
          <w:rFonts w:ascii="Times New Roman" w:hAnsi="Times New Roman" w:cs="Times New Roman"/>
          <w:sz w:val="24"/>
          <w:szCs w:val="24"/>
        </w:rPr>
      </w:pPr>
      <w:r>
        <w:rPr/>
        <w:drawing>
          <wp:inline distT="0" distB="0" distL="0" distR="0">
            <wp:extent cx="4154805" cy="3543935"/>
            <wp:effectExtent l="0" t="0" r="0" b="0"/>
            <wp:docPr id="53"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2" descr=""/>
                    <pic:cNvPicPr>
                      <a:picLocks noChangeAspect="1" noChangeArrowheads="1"/>
                    </pic:cNvPicPr>
                  </pic:nvPicPr>
                  <pic:blipFill>
                    <a:blip r:embed="rId52"/>
                    <a:srcRect l="5217" t="2561" r="4526" b="0"/>
                    <a:stretch>
                      <a:fillRect/>
                    </a:stretch>
                  </pic:blipFill>
                  <pic:spPr bwMode="auto">
                    <a:xfrm>
                      <a:off x="0" y="0"/>
                      <a:ext cx="4154805" cy="3543935"/>
                    </a:xfrm>
                    <a:prstGeom prst="rect">
                      <a:avLst/>
                    </a:prstGeom>
                  </pic:spPr>
                </pic:pic>
              </a:graphicData>
            </a:graphic>
          </wp:inline>
        </w:drawing>
      </w:r>
    </w:p>
    <w:p>
      <w:pPr>
        <w:pStyle w:val="Normal"/>
        <w:tabs>
          <w:tab w:val="left" w:pos="1560" w:leader="none"/>
          <w:tab w:val="left" w:pos="6663" w:leader="none"/>
        </w:tabs>
        <w:spacing w:lineRule="auto" w:line="240" w:before="0" w:after="0"/>
        <w:ind w:left="993" w:hanging="0"/>
        <w:jc w:val="both"/>
        <w:rPr>
          <w:rFonts w:ascii="Times New Roman" w:hAnsi="Times New Roman" w:cs="Times New Roman"/>
          <w:sz w:val="20"/>
          <w:szCs w:val="24"/>
        </w:rPr>
      </w:pPr>
      <w:r>
        <w:rPr>
          <w:rFonts w:cs="Times New Roman" w:ascii="Times New Roman" w:hAnsi="Times New Roman"/>
          <w:sz w:val="20"/>
          <w:szCs w:val="24"/>
        </w:rPr>
        <w:t>Fonte: AUTOR (2024).</w:t>
      </w:r>
    </w:p>
    <w:p>
      <w:pPr>
        <w:pStyle w:val="Normal"/>
        <w:tabs>
          <w:tab w:val="left" w:pos="1560" w:leader="none"/>
          <w:tab w:val="left" w:pos="6663" w:leader="none"/>
        </w:tabs>
        <w:spacing w:lineRule="auto" w:line="240" w:before="0" w:after="0"/>
        <w:ind w:left="993" w:hanging="0"/>
        <w:jc w:val="both"/>
        <w:rPr>
          <w:rFonts w:ascii="Times New Roman" w:hAnsi="Times New Roman" w:cs="Times New Roman"/>
          <w:sz w:val="20"/>
          <w:szCs w:val="24"/>
        </w:rPr>
      </w:pPr>
      <w:r>
        <w:rPr>
          <w:rFonts w:cs="Times New Roman" w:ascii="Times New Roman" w:hAnsi="Times New Roman"/>
          <w:sz w:val="20"/>
          <w:szCs w:val="24"/>
        </w:rPr>
      </w:r>
    </w:p>
    <w:p>
      <w:pPr>
        <w:pStyle w:val="Normal"/>
        <w:tabs>
          <w:tab w:val="left" w:pos="1560" w:leader="none"/>
          <w:tab w:val="left" w:pos="6663" w:leader="none"/>
        </w:tabs>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O pó fluxante A não foi polido, registrando as imperfeições e impurezas.</w:t>
      </w:r>
    </w:p>
    <w:p>
      <w:pPr>
        <w:pStyle w:val="Corpodetexto"/>
        <w:spacing w:lineRule="auto" w:line="360" w:before="0" w:after="0"/>
        <w:ind w:firstLine="1134"/>
        <w:jc w:val="both"/>
        <w:rPr/>
      </w:pPr>
      <w:r>
        <w:rPr>
          <w:rFonts w:cs="Times New Roman" w:ascii="Times New Roman" w:hAnsi="Times New Roman"/>
          <w:sz w:val="24"/>
          <w:szCs w:val="24"/>
        </w:rPr>
        <w:t xml:space="preserve">Na imagem, a cor cinza representa o pó fluxante no estado de vidro super-resfriado, a cor branca são </w:t>
      </w:r>
      <w:r>
        <w:rPr>
          <w:rFonts w:cs="Times New Roman" w:ascii="Times New Roman" w:hAnsi="Times New Roman"/>
          <w:bCs/>
          <w:sz w:val="24"/>
          <w:szCs w:val="24"/>
          <w:shd w:fill="FFFFFF" w:val="clear"/>
        </w:rPr>
        <w:t>cristais dendríticos (</w:t>
      </w:r>
      <w:hyperlink r:id="rId53" w:tgtFrame="Cristal">
        <w:r>
          <w:rPr>
            <w:rStyle w:val="LinkdaInternet"/>
            <w:rFonts w:cs="Times New Roman" w:ascii="Times New Roman" w:hAnsi="Times New Roman"/>
            <w:color w:val="auto"/>
            <w:sz w:val="24"/>
            <w:szCs w:val="24"/>
            <w:highlight w:val="white"/>
            <w:u w:val="none"/>
          </w:rPr>
          <w:t>cristal</w:t>
        </w:r>
      </w:hyperlink>
      <w:r>
        <w:rPr>
          <w:rFonts w:cs="Times New Roman" w:ascii="Times New Roman" w:hAnsi="Times New Roman"/>
          <w:sz w:val="24"/>
          <w:szCs w:val="24"/>
          <w:shd w:fill="FFFFFF" w:val="clear"/>
        </w:rPr>
        <w:t> que se desenvolve com uma forma multi-ramificada).</w:t>
      </w:r>
    </w:p>
    <w:p>
      <w:pPr>
        <w:pStyle w:val="Corpodetexto"/>
        <w:spacing w:lineRule="auto" w:line="360" w:before="0" w:after="0"/>
        <w:ind w:firstLine="1134"/>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Diferentes tamanhos de cristais, significa que a nucleação e crescimento ocorrem simultaneamente. Quanto maior o cristal mais cedo o núcleo estável deste foi formado.</w:t>
      </w:r>
    </w:p>
    <w:p>
      <w:pPr>
        <w:pStyle w:val="Corpodetexto"/>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Klug (2012), realizou análise microscópica da cristalização de um pó fluxante isento de flúor a base de CaO, SiO</w:t>
      </w:r>
      <w:r>
        <w:rPr>
          <w:rFonts w:cs="Times New Roman" w:ascii="Times New Roman" w:hAnsi="Times New Roman"/>
          <w:sz w:val="24"/>
          <w:szCs w:val="24"/>
          <w:vertAlign w:val="subscript"/>
        </w:rPr>
        <w:t>2</w:t>
      </w:r>
      <w:r>
        <w:rPr>
          <w:rFonts w:cs="Times New Roman" w:ascii="Times New Roman" w:hAnsi="Times New Roman"/>
          <w:sz w:val="24"/>
          <w:szCs w:val="24"/>
        </w:rPr>
        <w:t xml:space="preserve"> e TiO</w:t>
      </w:r>
      <w:r>
        <w:rPr>
          <w:rFonts w:cs="Times New Roman" w:ascii="Times New Roman" w:hAnsi="Times New Roman"/>
          <w:sz w:val="24"/>
          <w:szCs w:val="24"/>
          <w:vertAlign w:val="subscript"/>
        </w:rPr>
        <w:t>2</w:t>
      </w:r>
      <w:r>
        <w:rPr>
          <w:rFonts w:cs="Times New Roman" w:ascii="Times New Roman" w:hAnsi="Times New Roman"/>
          <w:sz w:val="24"/>
          <w:szCs w:val="24"/>
        </w:rPr>
        <w:t>, igualmente ao pó fluxante A estudado. A formação cristalina foi a perovskita (CaO.TiO</w:t>
      </w:r>
      <w:r>
        <w:rPr>
          <w:rFonts w:cs="Times New Roman" w:ascii="Times New Roman" w:hAnsi="Times New Roman"/>
          <w:sz w:val="24"/>
          <w:szCs w:val="24"/>
          <w:vertAlign w:val="subscript"/>
        </w:rPr>
        <w:t>2</w:t>
      </w:r>
      <w:r>
        <w:rPr>
          <w:rFonts w:cs="Times New Roman" w:ascii="Times New Roman" w:hAnsi="Times New Roman"/>
          <w:sz w:val="24"/>
          <w:szCs w:val="24"/>
        </w:rPr>
        <w:t>) e as imagens microscópicas estão ilustradas na figura 46.</w:t>
      </w:r>
    </w:p>
    <w:p>
      <w:pPr>
        <w:pStyle w:val="Corpodetexto"/>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360" w:before="0" w:after="0"/>
        <w:jc w:val="both"/>
        <w:rPr>
          <w:rFonts w:ascii="Times New Roman" w:hAnsi="Times New Roman" w:cs="Times New Roman"/>
          <w:sz w:val="24"/>
          <w:szCs w:val="24"/>
        </w:rPr>
      </w:pPr>
      <w:bookmarkStart w:id="180" w:name="_Hlk156895472"/>
      <w:r>
        <w:rPr>
          <w:rFonts w:cs="Times New Roman" w:ascii="Times New Roman" w:hAnsi="Times New Roman"/>
          <w:sz w:val="24"/>
          <w:szCs w:val="24"/>
        </w:rPr>
        <w:t>Figura 46 - Imagens obtidas em microscópio óptico da amostra CSTNA_1.</w:t>
      </w:r>
      <w:bookmarkEnd w:id="180"/>
    </w:p>
    <w:p>
      <w:pPr>
        <w:pStyle w:val="Corpodetexto"/>
        <w:spacing w:lineRule="auto" w:line="360" w:before="0" w:after="0"/>
        <w:jc w:val="center"/>
        <w:rPr>
          <w:rFonts w:ascii="Times New Roman" w:hAnsi="Times New Roman" w:cs="Times New Roman"/>
          <w:sz w:val="24"/>
          <w:szCs w:val="24"/>
        </w:rPr>
      </w:pPr>
      <w:r>
        <w:rPr/>
        <w:drawing>
          <wp:inline distT="0" distB="3175" distL="0" distR="7620">
            <wp:extent cx="5479415" cy="2245360"/>
            <wp:effectExtent l="0" t="0" r="0" b="0"/>
            <wp:docPr id="5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a1" descr=""/>
                    <pic:cNvPicPr>
                      <a:picLocks noChangeAspect="1" noChangeArrowheads="1"/>
                    </pic:cNvPicPr>
                  </pic:nvPicPr>
                  <pic:blipFill>
                    <a:blip r:embed="rId54"/>
                    <a:srcRect l="1292" t="19133" r="1909" b="18144"/>
                    <a:stretch>
                      <a:fillRect/>
                    </a:stretch>
                  </pic:blipFill>
                  <pic:spPr bwMode="auto">
                    <a:xfrm>
                      <a:off x="0" y="0"/>
                      <a:ext cx="5479415" cy="2245360"/>
                    </a:xfrm>
                    <a:prstGeom prst="rect">
                      <a:avLst/>
                    </a:prstGeom>
                  </pic:spPr>
                </pic:pic>
              </a:graphicData>
            </a:graphic>
          </wp:inline>
        </w:drawing>
      </w:r>
    </w:p>
    <w:p>
      <w:pPr>
        <w:pStyle w:val="Corpodetexto"/>
        <w:spacing w:lineRule="auto" w:line="360" w:before="4" w:after="140"/>
        <w:jc w:val="both"/>
        <w:rPr>
          <w:rFonts w:ascii="Times New Roman" w:hAnsi="Times New Roman" w:cs="Times New Roman"/>
          <w:sz w:val="20"/>
          <w:szCs w:val="24"/>
        </w:rPr>
      </w:pPr>
      <w:r>
        <w:rPr>
          <w:rFonts w:cs="Times New Roman" w:ascii="Times New Roman" w:hAnsi="Times New Roman"/>
          <w:sz w:val="20"/>
          <w:szCs w:val="24"/>
        </w:rPr>
        <w:t>Fonte: KLUG (2012).</w:t>
      </w:r>
    </w:p>
    <w:p>
      <w:pPr>
        <w:pStyle w:val="Corpodetexto"/>
        <w:spacing w:lineRule="auto" w:line="360" w:before="0" w:after="0"/>
        <w:jc w:val="both"/>
        <w:rPr>
          <w:rFonts w:ascii="Times New Roman" w:hAnsi="Times New Roman" w:cs="Times New Roman"/>
          <w:sz w:val="20"/>
          <w:szCs w:val="24"/>
        </w:rPr>
      </w:pPr>
      <w:r>
        <w:rPr>
          <w:rFonts w:cs="Times New Roman" w:ascii="Times New Roman" w:hAnsi="Times New Roman"/>
          <w:sz w:val="20"/>
          <w:szCs w:val="24"/>
        </w:rPr>
      </w:r>
    </w:p>
    <w:p>
      <w:pPr>
        <w:pStyle w:val="Corpodetexto"/>
        <w:spacing w:lineRule="auto" w:line="360" w:before="4" w:after="140"/>
        <w:ind w:firstLine="1134"/>
        <w:jc w:val="both"/>
        <w:rPr>
          <w:rFonts w:ascii="Times New Roman" w:hAnsi="Times New Roman" w:cs="Times New Roman"/>
          <w:sz w:val="24"/>
          <w:szCs w:val="24"/>
        </w:rPr>
      </w:pPr>
      <w:r>
        <w:rPr>
          <w:rFonts w:cs="Times New Roman" w:ascii="Times New Roman" w:hAnsi="Times New Roman"/>
          <w:sz w:val="24"/>
          <w:szCs w:val="24"/>
        </w:rPr>
        <w:t xml:space="preserve">Na figura 46, a esquerda, percebemos a presença de cristais dendríticos (tridimensionais). A direita, desta mesma figura em maior escala, logo acima da linha vermelha temos uma dendrita semelhante ao do pó fluxante A da figura 44. A imagem confirma o crescimento tridimensional, conforme valor do expoente de Avrami </w:t>
      </w:r>
      <w:r>
        <w:rPr>
          <w:rFonts w:cs="Times New Roman" w:ascii="Times New Roman" w:hAnsi="Times New Roman"/>
          <w:b/>
          <w:i/>
          <w:sz w:val="24"/>
          <w:szCs w:val="24"/>
        </w:rPr>
        <w:t>n</w:t>
      </w:r>
      <w:r>
        <w:rPr>
          <w:rFonts w:cs="Times New Roman" w:ascii="Times New Roman" w:hAnsi="Times New Roman"/>
          <w:sz w:val="24"/>
          <w:szCs w:val="24"/>
        </w:rPr>
        <w:t xml:space="preserve"> calculado. Dendritas caracterizam crescimento tridimensional. As dentritas maiores, um pouco mais acima da linha vermelha, tiveram a nucleação mais cedo e consequentemente maior tempo para aglomeração cristalina (crescimento).</w:t>
      </w:r>
    </w:p>
    <w:p>
      <w:pPr>
        <w:pStyle w:val="Corpodetexto"/>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A figura 47 mostra as imagens microscópica do pó fluxante B, que assim como o fluxante A, formaram cristais tridimensionais. </w:t>
      </w:r>
    </w:p>
    <w:p>
      <w:pPr>
        <w:pStyle w:val="Corpodetexto"/>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2127"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Figura 47 - MEV do pó fluxante B após a cristalização.</w:t>
      </w:r>
      <w:bookmarkStart w:id="181" w:name="_Hlk156895513"/>
      <w:bookmarkEnd w:id="181"/>
    </w:p>
    <w:p>
      <w:pPr>
        <w:pStyle w:val="Normal"/>
        <w:spacing w:lineRule="auto" w:line="240" w:before="0" w:after="0"/>
        <w:jc w:val="center"/>
        <w:rPr>
          <w:rFonts w:ascii="Times New Roman" w:hAnsi="Times New Roman" w:cs="Times New Roman"/>
          <w:sz w:val="24"/>
          <w:szCs w:val="24"/>
        </w:rPr>
      </w:pPr>
      <w:r>
        <w:rPr/>
        <w:drawing>
          <wp:inline distT="0" distB="8255" distL="0" distR="4445">
            <wp:extent cx="5501005" cy="4183380"/>
            <wp:effectExtent l="0" t="0" r="0" b="0"/>
            <wp:docPr id="55" name="Imagem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80" descr=""/>
                    <pic:cNvPicPr>
                      <a:picLocks noChangeAspect="1" noChangeArrowheads="1"/>
                    </pic:cNvPicPr>
                  </pic:nvPicPr>
                  <pic:blipFill>
                    <a:blip r:embed="rId55"/>
                    <a:srcRect l="25969" t="21270" r="26520" b="9448"/>
                    <a:stretch>
                      <a:fillRect/>
                    </a:stretch>
                  </pic:blipFill>
                  <pic:spPr bwMode="auto">
                    <a:xfrm>
                      <a:off x="0" y="0"/>
                      <a:ext cx="5501005" cy="4183380"/>
                    </a:xfrm>
                    <a:prstGeom prst="rect">
                      <a:avLst/>
                    </a:prstGeom>
                  </pic:spPr>
                </pic:pic>
              </a:graphicData>
            </a:graphic>
          </wp:inline>
        </w:drawing>
      </w:r>
    </w:p>
    <w:p>
      <w:pPr>
        <w:pStyle w:val="Corpodetexto"/>
        <w:spacing w:lineRule="auto" w:line="240" w:before="0" w:after="0"/>
        <w:jc w:val="both"/>
        <w:rPr>
          <w:rFonts w:ascii="Times New Roman" w:hAnsi="Times New Roman" w:cs="Times New Roman"/>
          <w:w w:val="105"/>
          <w:sz w:val="20"/>
          <w:szCs w:val="20"/>
        </w:rPr>
      </w:pPr>
      <w:r>
        <w:rPr>
          <w:rFonts w:cs="Times New Roman" w:ascii="Times New Roman" w:hAnsi="Times New Roman"/>
          <w:sz w:val="20"/>
          <w:szCs w:val="20"/>
        </w:rPr>
        <w:t xml:space="preserve">Fonte: </w:t>
      </w:r>
      <w:r>
        <w:rPr>
          <w:rFonts w:cs="Times New Roman" w:ascii="Times New Roman" w:hAnsi="Times New Roman"/>
          <w:w w:val="105"/>
          <w:sz w:val="20"/>
          <w:szCs w:val="20"/>
        </w:rPr>
        <w:t>MYUNG-DUK</w:t>
      </w:r>
      <w:r>
        <w:rPr>
          <w:rFonts w:cs="Times New Roman" w:ascii="Times New Roman" w:hAnsi="Times New Roman"/>
          <w:spacing w:val="-9"/>
          <w:w w:val="105"/>
          <w:sz w:val="20"/>
          <w:szCs w:val="20"/>
        </w:rPr>
        <w:t xml:space="preserve"> </w:t>
      </w:r>
      <w:r>
        <w:rPr>
          <w:rFonts w:cs="Times New Roman" w:ascii="Times New Roman" w:hAnsi="Times New Roman"/>
          <w:w w:val="105"/>
          <w:sz w:val="20"/>
          <w:szCs w:val="20"/>
        </w:rPr>
        <w:t>SEO et. al. (2015).</w:t>
      </w:r>
    </w:p>
    <w:p>
      <w:pPr>
        <w:pStyle w:val="Corpodetexto"/>
        <w:spacing w:lineRule="auto" w:line="360" w:before="0" w:after="0"/>
        <w:ind w:left="1418" w:hanging="0"/>
        <w:jc w:val="both"/>
        <w:rPr>
          <w:rFonts w:ascii="Times New Roman" w:hAnsi="Times New Roman" w:cs="Times New Roman"/>
          <w:w w:val="105"/>
          <w:sz w:val="24"/>
          <w:szCs w:val="20"/>
        </w:rPr>
      </w:pPr>
      <w:r>
        <w:rPr>
          <w:rFonts w:cs="Times New Roman" w:ascii="Times New Roman" w:hAnsi="Times New Roman"/>
          <w:w w:val="105"/>
          <w:sz w:val="24"/>
          <w:szCs w:val="20"/>
        </w:rPr>
      </w:r>
    </w:p>
    <w:p>
      <w:pPr>
        <w:pStyle w:val="Corpodetexto"/>
        <w:spacing w:lineRule="auto" w:line="360" w:before="4" w:after="140"/>
        <w:ind w:firstLine="1134"/>
        <w:jc w:val="both"/>
        <w:rPr>
          <w:rFonts w:ascii="Times New Roman" w:hAnsi="Times New Roman" w:cs="Times New Roman"/>
          <w:sz w:val="24"/>
          <w:szCs w:val="24"/>
        </w:rPr>
      </w:pPr>
      <w:r>
        <w:rPr>
          <w:rFonts w:cs="Times New Roman" w:ascii="Times New Roman" w:hAnsi="Times New Roman"/>
          <w:sz w:val="24"/>
          <w:szCs w:val="24"/>
        </w:rPr>
        <w:t xml:space="preserve">Conforme </w:t>
      </w:r>
      <w:r>
        <w:rPr>
          <w:rFonts w:cs="Times New Roman" w:ascii="Times New Roman" w:hAnsi="Times New Roman"/>
          <w:w w:val="105"/>
          <w:sz w:val="24"/>
          <w:szCs w:val="24"/>
        </w:rPr>
        <w:t>Myung-Duk</w:t>
      </w:r>
      <w:r>
        <w:rPr>
          <w:rFonts w:cs="Times New Roman" w:ascii="Times New Roman" w:hAnsi="Times New Roman"/>
          <w:spacing w:val="-9"/>
          <w:w w:val="105"/>
          <w:sz w:val="24"/>
          <w:szCs w:val="24"/>
        </w:rPr>
        <w:t xml:space="preserve"> </w:t>
      </w:r>
      <w:r>
        <w:rPr>
          <w:rFonts w:cs="Times New Roman" w:ascii="Times New Roman" w:hAnsi="Times New Roman"/>
          <w:w w:val="105"/>
          <w:sz w:val="24"/>
          <w:szCs w:val="24"/>
        </w:rPr>
        <w:t xml:space="preserve">Seo et. al. (2015), </w:t>
      </w:r>
      <w:r>
        <w:rPr>
          <w:rFonts w:cs="Times New Roman" w:ascii="Times New Roman" w:hAnsi="Times New Roman"/>
          <w:sz w:val="24"/>
          <w:szCs w:val="24"/>
        </w:rPr>
        <w:t xml:space="preserve">o expoente de Avrami </w:t>
      </w:r>
      <w:r>
        <w:rPr>
          <w:rFonts w:cs="Times New Roman" w:ascii="Times New Roman" w:hAnsi="Times New Roman"/>
          <w:b/>
          <w:i/>
          <w:sz w:val="24"/>
          <w:szCs w:val="24"/>
        </w:rPr>
        <w:t>n</w:t>
      </w:r>
      <w:r>
        <w:rPr>
          <w:rFonts w:cs="Times New Roman" w:ascii="Times New Roman" w:hAnsi="Times New Roman"/>
          <w:sz w:val="24"/>
          <w:szCs w:val="24"/>
        </w:rPr>
        <w:t xml:space="preserve"> para a formação de cuspidina dos pós fluxantes B e D corresponde a 3,13 e 3,4, respectivamente. O valor de Avrami para o pó fluxante A foi 3,16, ou seja, muito semelhante ao do pó fluxante B. </w:t>
      </w:r>
    </w:p>
    <w:p>
      <w:pPr>
        <w:pStyle w:val="NormalWeb"/>
        <w:shd w:val="clear" w:color="auto" w:fill="FFFFFF"/>
        <w:spacing w:lineRule="auto" w:line="360" w:before="0" w:after="0"/>
        <w:ind w:firstLine="1134"/>
        <w:jc w:val="both"/>
        <w:rPr>
          <w:w w:val="105"/>
          <w:sz w:val="24"/>
          <w:szCs w:val="24"/>
        </w:rPr>
      </w:pPr>
      <w:r>
        <w:rPr>
          <w:w w:val="105"/>
          <w:sz w:val="24"/>
          <w:szCs w:val="24"/>
        </w:rPr>
        <w:t>Pelas imagens microscópicas do fluxante B em diferentes isotermas percebemos que em 1145ºC temos a formação de muitos núcleos de pouco crescimento e em 1160ºC temos menos núcleos com maior crescimento cristalino. Então,</w:t>
      </w:r>
      <w:r>
        <w:rPr>
          <w:sz w:val="24"/>
          <w:szCs w:val="24"/>
        </w:rPr>
        <w:t xml:space="preserve"> quanto maior o super-resfriamento, menor é a energia necessária para a formação de núcleos estáveis </w:t>
      </w:r>
      <w:r>
        <w:rPr>
          <w:b/>
          <w:i/>
          <w:sz w:val="24"/>
          <w:szCs w:val="24"/>
        </w:rPr>
        <w:t>ΔG*</w:t>
      </w:r>
      <w:r>
        <w:rPr>
          <w:sz w:val="24"/>
          <w:szCs w:val="24"/>
        </w:rPr>
        <w:t xml:space="preserve">. </w:t>
      </w:r>
    </w:p>
    <w:p>
      <w:pPr>
        <w:pStyle w:val="NormalWeb"/>
        <w:shd w:val="clear" w:color="auto" w:fill="FFFFFF"/>
        <w:spacing w:lineRule="auto" w:line="360" w:before="0" w:after="0"/>
        <w:ind w:firstLine="1134"/>
        <w:jc w:val="both"/>
        <w:rPr>
          <w:w w:val="105"/>
          <w:sz w:val="24"/>
          <w:szCs w:val="24"/>
        </w:rPr>
      </w:pPr>
      <w:r>
        <w:rPr>
          <w:sz w:val="24"/>
          <w:szCs w:val="24"/>
        </w:rPr>
        <w:t xml:space="preserve">Considerando que a energia de ativação é independente da temperatura, concluímos que a taxa de nucleação é controlada pela temperatura do processo e que </w:t>
      </w:r>
      <w:r>
        <w:rPr>
          <w:b/>
          <w:i/>
          <w:sz w:val="24"/>
          <w:szCs w:val="24"/>
        </w:rPr>
        <w:t xml:space="preserve">ΔG* </w:t>
      </w:r>
      <w:r>
        <w:rPr>
          <w:w w:val="105"/>
          <w:sz w:val="24"/>
          <w:szCs w:val="24"/>
        </w:rPr>
        <w:t xml:space="preserve">é inversamente proporcional ao grau de super-resfriamento.  </w:t>
      </w:r>
    </w:p>
    <w:p>
      <w:pPr>
        <w:pStyle w:val="Corpodetexto"/>
        <w:spacing w:lineRule="auto" w:line="360" w:before="4" w:after="140"/>
        <w:ind w:firstLine="113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7260" w:leader="none"/>
        </w:tabs>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60" w:leader="none"/>
        </w:tabs>
        <w:spacing w:lineRule="auto" w:line="360" w:before="0" w:after="0"/>
        <w:rPr>
          <w:rFonts w:ascii="Times New Roman" w:hAnsi="Times New Roman" w:cs="Times New Roman"/>
          <w:b/>
          <w:b/>
          <w:sz w:val="24"/>
          <w:szCs w:val="24"/>
        </w:rPr>
      </w:pPr>
      <w:r>
        <w:rPr>
          <w:rFonts w:cs="Times New Roman" w:ascii="Times New Roman" w:hAnsi="Times New Roman"/>
          <w:b/>
          <w:sz w:val="24"/>
          <w:szCs w:val="24"/>
        </w:rPr>
        <w:t>6 CONCLUSÃO</w:t>
      </w:r>
      <w:bookmarkStart w:id="182" w:name="_Hlk156919428"/>
      <w:bookmarkEnd w:id="182"/>
    </w:p>
    <w:p>
      <w:pPr>
        <w:pStyle w:val="Normal"/>
        <w:tabs>
          <w:tab w:val="left" w:pos="7260" w:leader="none"/>
        </w:tabs>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ind w:firstLine="1134"/>
        <w:jc w:val="both"/>
        <w:rPr>
          <w:rFonts w:ascii="Times New Roman" w:hAnsi="Times New Roman" w:cs="Times New Roman"/>
          <w:color w:val="121412"/>
          <w:w w:val="105"/>
          <w:sz w:val="24"/>
          <w:szCs w:val="24"/>
        </w:rPr>
      </w:pPr>
      <w:bookmarkStart w:id="183" w:name="_Hlk160777844"/>
      <w:bookmarkEnd w:id="183"/>
      <w:r>
        <w:rPr>
          <w:rFonts w:cs="Times New Roman" w:ascii="Times New Roman" w:hAnsi="Times New Roman"/>
          <w:color w:val="121412"/>
          <w:w w:val="105"/>
          <w:sz w:val="24"/>
          <w:szCs w:val="24"/>
        </w:rPr>
        <w:t xml:space="preserve">O estudo da cinética de cristalização durante o resfriamento do pó fluxante livre de flúor </w:t>
      </w:r>
      <w:r>
        <w:rPr>
          <w:rFonts w:cs="Times New Roman" w:ascii="Times New Roman" w:hAnsi="Times New Roman"/>
          <w:color w:val="121412"/>
          <w:sz w:val="24"/>
          <w:szCs w:val="24"/>
        </w:rPr>
        <w:t xml:space="preserve">produzido utilizando os reagentes </w:t>
      </w:r>
      <w:r>
        <w:rPr>
          <w:rFonts w:cs="Times New Roman" w:ascii="Times New Roman" w:hAnsi="Times New Roman"/>
          <w:sz w:val="24"/>
          <w:szCs w:val="24"/>
        </w:rPr>
        <w:t>CaO, SiO</w:t>
      </w:r>
      <w:r>
        <w:rPr>
          <w:rFonts w:cs="Times New Roman" w:ascii="Times New Roman" w:hAnsi="Times New Roman"/>
          <w:sz w:val="24"/>
          <w:szCs w:val="24"/>
          <w:vertAlign w:val="subscript"/>
        </w:rPr>
        <w:t>2</w:t>
      </w:r>
      <w:r>
        <w:rPr>
          <w:rFonts w:cs="Times New Roman" w:ascii="Times New Roman" w:hAnsi="Times New Roman"/>
          <w:sz w:val="24"/>
          <w:szCs w:val="24"/>
        </w:rPr>
        <w:t>, Al</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 xml:space="preserve"> </w:t>
      </w:r>
      <w:r>
        <w:rPr>
          <w:rFonts w:cs="Times New Roman" w:ascii="Times New Roman" w:hAnsi="Times New Roman"/>
          <w:sz w:val="24"/>
          <w:szCs w:val="24"/>
        </w:rPr>
        <w:t>Na</w:t>
      </w:r>
      <w:r>
        <w:rPr>
          <w:rFonts w:cs="Times New Roman" w:ascii="Times New Roman" w:hAnsi="Times New Roman"/>
          <w:sz w:val="24"/>
          <w:szCs w:val="24"/>
          <w:vertAlign w:val="subscript"/>
        </w:rPr>
        <w:t>2</w:t>
      </w:r>
      <w:r>
        <w:rPr>
          <w:rFonts w:cs="Times New Roman" w:ascii="Times New Roman" w:hAnsi="Times New Roman"/>
          <w:sz w:val="24"/>
          <w:szCs w:val="24"/>
        </w:rPr>
        <w:t>O, MgO, TiO</w:t>
      </w:r>
      <w:r>
        <w:rPr>
          <w:rFonts w:cs="Times New Roman" w:ascii="Times New Roman" w:hAnsi="Times New Roman"/>
          <w:sz w:val="24"/>
          <w:szCs w:val="24"/>
          <w:vertAlign w:val="subscript"/>
        </w:rPr>
        <w:t>2</w:t>
      </w:r>
      <w:r>
        <w:rPr>
          <w:rFonts w:cs="Times New Roman" w:ascii="Times New Roman" w:hAnsi="Times New Roman"/>
          <w:sz w:val="24"/>
          <w:szCs w:val="24"/>
        </w:rPr>
        <w:t>, Fe</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xml:space="preserve"> e Li</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color w:val="121412"/>
          <w:w w:val="105"/>
          <w:sz w:val="24"/>
          <w:szCs w:val="24"/>
        </w:rPr>
        <w:t>, teve as seguintes conclusões:</w:t>
      </w:r>
    </w:p>
    <w:p>
      <w:pPr>
        <w:pStyle w:val="Normal"/>
        <w:spacing w:lineRule="auto" w:line="360" w:before="0" w:after="0"/>
        <w:ind w:firstLine="1134"/>
        <w:jc w:val="both"/>
        <w:rPr>
          <w:rFonts w:ascii="Times New Roman" w:hAnsi="Times New Roman" w:cs="Times New Roman"/>
          <w:color w:val="121412"/>
          <w:w w:val="105"/>
          <w:sz w:val="24"/>
          <w:szCs w:val="24"/>
        </w:rPr>
      </w:pPr>
      <w:r>
        <w:rPr>
          <w:rFonts w:cs="Times New Roman" w:ascii="Times New Roman" w:hAnsi="Times New Roman"/>
          <w:color w:val="121412"/>
          <w:w w:val="105"/>
          <w:sz w:val="24"/>
          <w:szCs w:val="24"/>
        </w:rPr>
        <w:t xml:space="preserve">Pelo diagrama TTT (Figura 40) do primeiro pico de cristalização do pó fluxante A, constatou-se que quanto menor a temperatura, mais cedo inicia-se a nucleação e crescimento do cristal. </w:t>
      </w:r>
    </w:p>
    <w:p>
      <w:pPr>
        <w:pStyle w:val="Normal"/>
        <w:spacing w:lineRule="auto" w:line="360" w:before="0" w:after="0"/>
        <w:ind w:firstLine="1134"/>
        <w:jc w:val="both"/>
        <w:rPr>
          <w:rFonts w:ascii="Times New Roman" w:hAnsi="Times New Roman" w:cs="Times New Roman"/>
          <w:strike/>
          <w:color w:val="121412"/>
          <w:w w:val="105"/>
          <w:sz w:val="24"/>
          <w:szCs w:val="24"/>
        </w:rPr>
      </w:pPr>
      <w:r>
        <w:rPr>
          <w:rFonts w:cs="Times New Roman" w:ascii="Times New Roman" w:hAnsi="Times New Roman"/>
          <w:sz w:val="24"/>
          <w:szCs w:val="24"/>
        </w:rPr>
        <w:t xml:space="preserve">A taxa de cristalização </w:t>
      </w:r>
      <w:r>
        <w:rPr>
          <w:rFonts w:cs="Times New Roman" w:ascii="Times New Roman" w:hAnsi="Times New Roman"/>
          <w:b/>
          <w:i/>
          <w:sz w:val="24"/>
          <w:szCs w:val="24"/>
        </w:rPr>
        <w:t>k</w:t>
      </w:r>
      <w:r>
        <w:rPr>
          <w:rFonts w:cs="Times New Roman" w:ascii="Times New Roman" w:hAnsi="Times New Roman"/>
          <w:sz w:val="24"/>
          <w:szCs w:val="24"/>
        </w:rPr>
        <w:t xml:space="preserve"> diminui com o aumento da temperatura de isoterma, mostrando um comportamento anti-Arrhenius.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O </w:t>
      </w:r>
      <w:r>
        <w:rPr>
          <w:rFonts w:cs="Times New Roman" w:ascii="Times New Roman" w:hAnsi="Times New Roman"/>
          <w:b/>
          <w:i/>
          <w:sz w:val="24"/>
          <w:szCs w:val="24"/>
        </w:rPr>
        <w:t>n</w:t>
      </w:r>
      <w:r>
        <w:rPr>
          <w:rFonts w:cs="Times New Roman" w:ascii="Times New Roman" w:hAnsi="Times New Roman"/>
          <w:sz w:val="24"/>
          <w:szCs w:val="24"/>
        </w:rPr>
        <w:t xml:space="preserve"> de Avrami do pó fluxante A foi de 3,16 (Tabela 6). Para esse valor, a teoria indica a nucleação heterogênea com cristais tridimensionais, a qual foi confirmada pela microscopia eletrônica de varredura (Figura 45) com a presença de cristais dendríticos. </w:t>
      </w:r>
      <w:r>
        <w:rPr/>
        <w:t xml:space="preserve"> </w:t>
      </w:r>
    </w:p>
    <w:p>
      <w:pPr>
        <w:pStyle w:val="NormalWeb"/>
        <w:shd w:val="clear" w:color="auto" w:fill="FFFFFF"/>
        <w:spacing w:lineRule="auto" w:line="360" w:before="0" w:after="0"/>
        <w:ind w:firstLine="1134"/>
        <w:jc w:val="both"/>
        <w:rPr>
          <w:sz w:val="24"/>
          <w:szCs w:val="24"/>
        </w:rPr>
      </w:pPr>
      <w:r>
        <w:rPr>
          <w:w w:val="105"/>
          <w:sz w:val="24"/>
          <w:szCs w:val="24"/>
        </w:rPr>
        <w:t>Myung-Duk</w:t>
      </w:r>
      <w:r>
        <w:rPr>
          <w:spacing w:val="-9"/>
          <w:w w:val="105"/>
          <w:sz w:val="24"/>
          <w:szCs w:val="24"/>
        </w:rPr>
        <w:t xml:space="preserve"> </w:t>
      </w:r>
      <w:r>
        <w:rPr>
          <w:w w:val="105"/>
          <w:sz w:val="24"/>
          <w:szCs w:val="24"/>
        </w:rPr>
        <w:t>Seo et. al. (2015), encontrou resultados semelhantes em seus estudos de cristalização do pó fluxante B com flúor (</w:t>
      </w:r>
      <w:r>
        <w:rPr>
          <w:b/>
          <w:i/>
          <w:w w:val="105"/>
          <w:sz w:val="24"/>
          <w:szCs w:val="24"/>
        </w:rPr>
        <w:t>n</w:t>
      </w:r>
      <w:r>
        <w:rPr>
          <w:w w:val="105"/>
          <w:sz w:val="24"/>
          <w:szCs w:val="24"/>
        </w:rPr>
        <w:t xml:space="preserve"> = 3,13) e a morfologia cristalina mostrou a formação de cristais dendríticos tridimensionais idênticos aos formados no fluxante A e a</w:t>
      </w:r>
      <w:r>
        <w:rPr>
          <w:sz w:val="24"/>
          <w:szCs w:val="20"/>
        </w:rPr>
        <w:t xml:space="preserve"> energia de ativação </w:t>
      </w:r>
      <w:r>
        <w:rPr>
          <w:b/>
          <w:i/>
          <w:sz w:val="24"/>
          <w:szCs w:val="20"/>
        </w:rPr>
        <w:t>Ea</w:t>
      </w:r>
      <w:r>
        <w:rPr>
          <w:sz w:val="24"/>
          <w:szCs w:val="20"/>
        </w:rPr>
        <w:t>, da transformação de fase, calculada experimentalmente</w:t>
      </w:r>
      <w:r>
        <w:rPr>
          <w:sz w:val="24"/>
          <w:szCs w:val="24"/>
        </w:rPr>
        <w:t xml:space="preserve"> do pó fluxante A foi de </w:t>
      </w:r>
      <w:r>
        <w:rPr>
          <w:b/>
          <w:sz w:val="24"/>
          <w:szCs w:val="24"/>
        </w:rPr>
        <w:t>-2.307,3 kJ/mol</w:t>
      </w:r>
      <w:r>
        <w:rPr>
          <w:sz w:val="24"/>
          <w:szCs w:val="24"/>
        </w:rPr>
        <w:t>, muito próximo a do fluxante B que foi de -2.250,80 KJ/mol</w:t>
      </w:r>
      <w:r>
        <w:rPr>
          <w:w w:val="105"/>
          <w:sz w:val="24"/>
          <w:szCs w:val="24"/>
        </w:rPr>
        <w:t>.</w:t>
      </w:r>
      <w:r>
        <w:rPr>
          <w:sz w:val="24"/>
          <w:szCs w:val="24"/>
        </w:rPr>
        <w:t xml:space="preserve">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 xml:space="preserve">Pela morfologia cristalina dos pós fluxantes B e D, cujo super-resfriamento foram 60,2K e 9,6K respectivamente, confirma-se a teoria de que quanto maior o super-resfriamento mais núcleos são formados com menor crescimento e vice-versa. </w:t>
      </w:r>
    </w:p>
    <w:p>
      <w:pPr>
        <w:pStyle w:val="Normal"/>
        <w:spacing w:lineRule="auto" w:line="360" w:before="0" w:after="0"/>
        <w:ind w:firstLine="1134"/>
        <w:jc w:val="both"/>
        <w:rPr>
          <w:rFonts w:ascii="Times New Roman" w:hAnsi="Times New Roman" w:cs="Times New Roman"/>
          <w:sz w:val="24"/>
          <w:szCs w:val="24"/>
        </w:rPr>
      </w:pPr>
      <w:r>
        <w:rPr>
          <w:rFonts w:cs="Times New Roman" w:ascii="Times New Roman" w:hAnsi="Times New Roman"/>
          <w:sz w:val="24"/>
          <w:szCs w:val="24"/>
        </w:rPr>
        <w:t>A morfologia cristalina do pó fluxante A é muito semelhante à morfologia do pó fluxante B, coerente com os altos e próximos valores de super-resfriamento, 60,2K e 45,5K, respectivamente.</w:t>
      </w:r>
    </w:p>
    <w:p>
      <w:pPr>
        <w:pStyle w:val="Corpodetexto"/>
        <w:spacing w:lineRule="auto" w:line="360" w:before="4" w:after="0"/>
        <w:ind w:firstLine="1134"/>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A imagem microscópica dos pós fluxantes A e B mostram diferentes tamanhos de cristais, confirmando a teoria que a nucleação e crescimento ocorrem simultaneamente. </w:t>
      </w:r>
    </w:p>
    <w:p>
      <w:pPr>
        <w:pStyle w:val="NormalWeb"/>
        <w:shd w:val="clear" w:color="auto" w:fill="FFFFFF"/>
        <w:spacing w:lineRule="auto" w:line="360" w:before="0" w:after="0"/>
        <w:ind w:firstLine="1134"/>
        <w:jc w:val="both"/>
        <w:rPr>
          <w:sz w:val="24"/>
          <w:szCs w:val="24"/>
        </w:rPr>
      </w:pPr>
      <w:r>
        <w:rPr>
          <w:sz w:val="24"/>
          <w:szCs w:val="24"/>
        </w:rPr>
        <w:t xml:space="preserve">Considerando que o valor da </w:t>
      </w:r>
      <w:r>
        <w:rPr>
          <w:b/>
          <w:i/>
          <w:sz w:val="24"/>
          <w:szCs w:val="24"/>
        </w:rPr>
        <w:t>Ea</w:t>
      </w:r>
      <w:r>
        <w:rPr>
          <w:sz w:val="24"/>
          <w:szCs w:val="24"/>
        </w:rPr>
        <w:t xml:space="preserve"> seja constante, a taxa de nucleação </w:t>
      </w:r>
      <w:r>
        <w:rPr>
          <w:b/>
          <w:i/>
          <w:sz w:val="24"/>
          <w:szCs w:val="24"/>
        </w:rPr>
        <w:t>N</w:t>
      </w:r>
      <w:r>
        <w:rPr>
          <w:sz w:val="24"/>
          <w:szCs w:val="24"/>
        </w:rPr>
        <w:t xml:space="preserve"> é governada apenas pelo termo termodinâmico da variação de energia livre para formação de núcleos estáveis </w:t>
      </w:r>
      <w:r>
        <w:rPr>
          <w:b/>
          <w:i/>
          <w:sz w:val="24"/>
          <w:szCs w:val="24"/>
        </w:rPr>
        <w:t xml:space="preserve">ΔG*, </w:t>
      </w:r>
      <w:r>
        <w:rPr>
          <w:sz w:val="24"/>
          <w:szCs w:val="24"/>
        </w:rPr>
        <w:t>que é inversamente proporcional ao grau de super-resfriamento.</w:t>
      </w:r>
    </w:p>
    <w:p>
      <w:pPr>
        <w:pStyle w:val="NormalWeb"/>
        <w:shd w:val="clear" w:color="auto" w:fill="FFFFFF"/>
        <w:spacing w:lineRule="auto" w:line="360" w:before="0" w:after="0"/>
        <w:ind w:firstLine="1134"/>
        <w:jc w:val="both"/>
        <w:rPr>
          <w:sz w:val="24"/>
          <w:szCs w:val="24"/>
        </w:rPr>
      </w:pPr>
      <w:r>
        <w:rPr>
          <w:w w:val="105"/>
          <w:sz w:val="24"/>
          <w:szCs w:val="24"/>
        </w:rPr>
        <w:t xml:space="preserve">Diante das afirmações citadas, mostra-se viável a utilização desse método </w:t>
      </w:r>
      <w:r>
        <w:rPr>
          <w:sz w:val="24"/>
          <w:szCs w:val="24"/>
        </w:rPr>
        <w:t xml:space="preserve">para </w:t>
      </w:r>
      <w:r>
        <w:rPr>
          <w:bCs/>
          <w:sz w:val="24"/>
          <w:szCs w:val="24"/>
        </w:rPr>
        <w:t xml:space="preserve">determinar a cinética de cristalização em pó fluxante livre de flúor através da DSC em condições isotérmicas com características </w:t>
      </w:r>
      <w:r>
        <w:rPr>
          <w:sz w:val="24"/>
          <w:szCs w:val="24"/>
        </w:rPr>
        <w:t>semelhantes a um pó fluxante comercial com flúor.</w:t>
      </w:r>
    </w:p>
    <w:p>
      <w:pPr>
        <w:pStyle w:val="Normal"/>
        <w:tabs>
          <w:tab w:val="left" w:pos="7260" w:leader="none"/>
        </w:tabs>
        <w:spacing w:lineRule="auto" w:line="360" w:before="0" w:after="0"/>
        <w:rPr>
          <w:rFonts w:ascii="Times New Roman" w:hAnsi="Times New Roman" w:cs="Times New Roman"/>
          <w:b/>
          <w:b/>
          <w:sz w:val="24"/>
          <w:szCs w:val="24"/>
        </w:rPr>
      </w:pPr>
      <w:bookmarkStart w:id="184" w:name="_Hlk160777844"/>
      <w:bookmarkEnd w:id="184"/>
      <w:r>
        <w:rPr>
          <w:rFonts w:cs="Times New Roman" w:ascii="Times New Roman" w:hAnsi="Times New Roman"/>
          <w:b/>
          <w:sz w:val="24"/>
          <w:szCs w:val="24"/>
        </w:rPr>
        <w:t>7 SUGESTÕES PARA TRABALHOS FUTURO</w:t>
      </w:r>
      <w:bookmarkStart w:id="185" w:name="_Hlk156919451"/>
      <w:bookmarkEnd w:id="185"/>
    </w:p>
    <w:p>
      <w:pPr>
        <w:pStyle w:val="Normal"/>
        <w:tabs>
          <w:tab w:val="left" w:pos="7260" w:leader="none"/>
        </w:tabs>
        <w:spacing w:lineRule="auto" w:line="360" w:before="0" w:after="0"/>
        <w:rPr/>
      </w:pPr>
      <w:r>
        <w:rPr/>
      </w:r>
      <w:bookmarkStart w:id="186" w:name="_Hlk118882564"/>
      <w:bookmarkStart w:id="187" w:name="_Hlk118882564"/>
      <w:bookmarkEnd w:id="187"/>
    </w:p>
    <w:p>
      <w:pPr>
        <w:pStyle w:val="ListParagraph"/>
        <w:numPr>
          <w:ilvl w:val="0"/>
          <w:numId w:val="11"/>
        </w:numPr>
        <w:spacing w:lineRule="auto" w:line="360" w:before="0" w:after="0"/>
        <w:ind w:left="0" w:firstLine="1134"/>
        <w:contextualSpacing/>
        <w:jc w:val="both"/>
        <w:rPr>
          <w:rFonts w:ascii="Times New Roman" w:hAnsi="Times New Roman"/>
          <w:sz w:val="24"/>
          <w:szCs w:val="24"/>
        </w:rPr>
      </w:pPr>
      <w:r>
        <w:rPr>
          <w:rFonts w:ascii="Times New Roman" w:hAnsi="Times New Roman"/>
          <w:sz w:val="24"/>
          <w:szCs w:val="24"/>
        </w:rPr>
        <w:t xml:space="preserve">Estudar o termograma de um pó fluxante, medido por análise DSC, para definir a porcentagem de cada substância de um pó fluxante livre de flúor que substitua o pó fluxante comercial que contém flúor com propriedades capazes de resolver defeitos do aço peritético solidificado pelo processo de lingotamento contínuo. </w:t>
      </w:r>
    </w:p>
    <w:p>
      <w:pPr>
        <w:pStyle w:val="ListParagraph"/>
        <w:numPr>
          <w:ilvl w:val="0"/>
          <w:numId w:val="11"/>
        </w:numPr>
        <w:spacing w:lineRule="auto" w:line="360" w:before="0" w:after="0"/>
        <w:ind w:left="0" w:firstLine="1134"/>
        <w:contextualSpacing/>
        <w:jc w:val="both"/>
        <w:rPr>
          <w:rFonts w:ascii="Times New Roman" w:hAnsi="Times New Roman"/>
          <w:sz w:val="24"/>
          <w:szCs w:val="24"/>
        </w:rPr>
      </w:pPr>
      <w:r>
        <w:rPr>
          <w:rFonts w:ascii="Times New Roman" w:hAnsi="Times New Roman"/>
          <w:sz w:val="24"/>
          <w:szCs w:val="24"/>
        </w:rPr>
        <w:t>Estudar, pelo termograma medido por analise DSC, o efeito do teor de CaO, SiO</w:t>
      </w:r>
      <w:r>
        <w:rPr>
          <w:rFonts w:ascii="Times New Roman" w:hAnsi="Times New Roman"/>
          <w:sz w:val="24"/>
          <w:szCs w:val="24"/>
          <w:vertAlign w:val="subscript"/>
        </w:rPr>
        <w:t>2</w:t>
      </w:r>
      <w:r>
        <w:rPr>
          <w:rFonts w:ascii="Times New Roman" w:hAnsi="Times New Roman"/>
          <w:sz w:val="24"/>
          <w:szCs w:val="24"/>
        </w:rPr>
        <w:t xml:space="preserve"> e TiO</w:t>
      </w:r>
      <w:r>
        <w:rPr>
          <w:rFonts w:ascii="Times New Roman" w:hAnsi="Times New Roman"/>
          <w:sz w:val="24"/>
          <w:szCs w:val="24"/>
          <w:vertAlign w:val="subscript"/>
        </w:rPr>
        <w:t>2</w:t>
      </w:r>
      <w:r>
        <w:rPr>
          <w:rFonts w:ascii="Times New Roman" w:hAnsi="Times New Roman"/>
          <w:sz w:val="24"/>
          <w:szCs w:val="24"/>
        </w:rPr>
        <w:t xml:space="preserve"> na cinética de cristalização de um pó fluxante livre de flúor. </w:t>
      </w:r>
    </w:p>
    <w:p>
      <w:pPr>
        <w:pStyle w:val="ListParagraph"/>
        <w:numPr>
          <w:ilvl w:val="0"/>
          <w:numId w:val="11"/>
        </w:numPr>
        <w:spacing w:lineRule="auto" w:line="360" w:before="0" w:after="0"/>
        <w:ind w:left="0" w:firstLine="1134"/>
        <w:contextualSpacing/>
        <w:jc w:val="both"/>
        <w:rPr>
          <w:rFonts w:ascii="Times New Roman" w:hAnsi="Times New Roman"/>
          <w:sz w:val="28"/>
          <w:szCs w:val="24"/>
        </w:rPr>
      </w:pPr>
      <w:r>
        <w:rPr>
          <w:rFonts w:ascii="Times New Roman" w:hAnsi="Times New Roman"/>
          <w:sz w:val="24"/>
        </w:rPr>
        <w:t>Explorar a cinética de cristalização de diferentes composições de pós fluxantes sem flúor, analisando como as variáveis de processo afetam a nucleação, crescimento e morfologia dos cristais durante o resfriamento.</w:t>
      </w:r>
    </w:p>
    <w:p>
      <w:pPr>
        <w:pStyle w:val="ListParagraph"/>
        <w:numPr>
          <w:ilvl w:val="0"/>
          <w:numId w:val="11"/>
        </w:numPr>
        <w:spacing w:lineRule="auto" w:line="360" w:before="0" w:after="0"/>
        <w:ind w:left="0" w:firstLine="1134"/>
        <w:contextualSpacing/>
        <w:jc w:val="both"/>
        <w:rPr>
          <w:rFonts w:ascii="Times New Roman" w:hAnsi="Times New Roman"/>
          <w:sz w:val="28"/>
          <w:szCs w:val="24"/>
        </w:rPr>
      </w:pPr>
      <w:r>
        <w:rPr>
          <w:rFonts w:ascii="Times New Roman" w:hAnsi="Times New Roman"/>
          <w:sz w:val="24"/>
        </w:rPr>
        <w:t>Realizar uma análise comparativa do custo-benefício entre pós fluxantes com e sem flúor, levando em consideração não apenas o preço do material, mas também os impactos na eficiência do processo, manutenção de equipamentos e qualidade do produto final.</w:t>
      </w:r>
    </w:p>
    <w:p>
      <w:pPr>
        <w:pStyle w:val="ListParagraph"/>
        <w:numPr>
          <w:ilvl w:val="0"/>
          <w:numId w:val="11"/>
        </w:numPr>
        <w:spacing w:lineRule="auto" w:line="360" w:before="0" w:after="0"/>
        <w:ind w:left="0" w:firstLine="1134"/>
        <w:contextualSpacing/>
        <w:jc w:val="both"/>
        <w:rPr>
          <w:rFonts w:ascii="Times New Roman" w:hAnsi="Times New Roman"/>
          <w:sz w:val="28"/>
          <w:szCs w:val="24"/>
        </w:rPr>
      </w:pPr>
      <w:r>
        <w:rPr>
          <w:rFonts w:ascii="Times New Roman" w:hAnsi="Times New Roman"/>
          <w:sz w:val="24"/>
        </w:rPr>
        <w:t>Investigar os impactos ambientais e de saúde ocupacional associados ao uso de pós fluxantes sem flúor em comparação com os pós fluxantes tradicionais, considerando aspectos como emissões atmosféricas, descarte de resíduos e exposição dos trabalhadores.</w:t>
      </w:r>
    </w:p>
    <w:p>
      <w:pPr>
        <w:pStyle w:val="ListParagraph"/>
        <w:numPr>
          <w:ilvl w:val="0"/>
          <w:numId w:val="11"/>
        </w:numPr>
        <w:spacing w:lineRule="auto" w:line="360" w:before="0" w:after="0"/>
        <w:ind w:left="0" w:firstLine="1134"/>
        <w:contextualSpacing/>
        <w:jc w:val="both"/>
        <w:rPr>
          <w:rFonts w:ascii="Times New Roman" w:hAnsi="Times New Roman"/>
          <w:sz w:val="28"/>
          <w:szCs w:val="24"/>
        </w:rPr>
      </w:pPr>
      <w:r>
        <w:rPr>
          <w:rFonts w:ascii="Times New Roman" w:hAnsi="Times New Roman"/>
          <w:sz w:val="24"/>
        </w:rPr>
        <w:t>Desenvolver metodologias de otimização da formulação de pós fluxantes sem flúor, utilizando técnicas experimentais para maximizar o desempenho do material em diferentes aplicações siderúrgicas.</w:t>
      </w:r>
    </w:p>
    <w:p>
      <w:pPr>
        <w:pStyle w:val="Normal"/>
        <w:spacing w:lineRule="auto" w:line="360" w:before="0" w:after="0"/>
        <w:ind w:firstLine="1134"/>
        <w:jc w:val="both"/>
        <w:rPr>
          <w:rFonts w:ascii="Times New Roman" w:hAnsi="Times New Roman" w:cs="Times New Roman"/>
          <w:strike/>
          <w:sz w:val="24"/>
          <w:szCs w:val="24"/>
        </w:rPr>
      </w:pPr>
      <w:r>
        <w:rPr>
          <w:rFonts w:cs="Times New Roman" w:ascii="Times New Roman" w:hAnsi="Times New Roman"/>
          <w:strike/>
          <w:sz w:val="24"/>
          <w:szCs w:val="24"/>
        </w:rPr>
      </w:r>
    </w:p>
    <w:p>
      <w:pPr>
        <w:pStyle w:val="Normal"/>
        <w:spacing w:lineRule="auto" w:line="360" w:before="0" w:after="0"/>
        <w:jc w:val="both"/>
        <w:rPr/>
      </w:pPr>
      <w:r>
        <w:rPr/>
      </w:r>
      <w:bookmarkStart w:id="188" w:name="_Hlk166740953"/>
      <w:bookmarkStart w:id="189" w:name="_Hlk166740953"/>
      <w:bookmarkEnd w:id="189"/>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REFERÊNCIAS</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rPr/>
      </w:pPr>
      <w:r>
        <w:rPr>
          <w:rFonts w:cs="Times New Roman" w:ascii="Times New Roman" w:hAnsi="Times New Roman"/>
          <w:sz w:val="24"/>
          <w:szCs w:val="24"/>
        </w:rPr>
        <w:t xml:space="preserve">ALMEIDA, C.F. COSTA, M.J.S.: </w:t>
      </w:r>
      <w:r>
        <w:rPr>
          <w:rFonts w:cs="Times New Roman" w:ascii="Times New Roman" w:hAnsi="Times New Roman"/>
          <w:b/>
          <w:sz w:val="24"/>
          <w:szCs w:val="24"/>
        </w:rPr>
        <w:t>Defeitos em produtos do lingotamento contínuo</w:t>
      </w:r>
      <w:r>
        <w:rPr>
          <w:rFonts w:cs="Times New Roman" w:ascii="Times New Roman" w:hAnsi="Times New Roman"/>
          <w:sz w:val="24"/>
          <w:szCs w:val="24"/>
        </w:rPr>
        <w:t xml:space="preserve">, Slideshare, 2013. Disponível em: </w:t>
      </w:r>
      <w:hyperlink r:id="rId56">
        <w:r>
          <w:rPr>
            <w:rStyle w:val="LinkdaInternet"/>
            <w:rFonts w:cs="Times New Roman" w:ascii="Times New Roman" w:hAnsi="Times New Roman"/>
            <w:color w:val="auto"/>
            <w:sz w:val="24"/>
            <w:szCs w:val="24"/>
            <w:u w:val="none"/>
          </w:rPr>
          <w:t>https://pt.slideshare.net/blefetrix/defeito-s-lingotamento</w:t>
        </w:r>
      </w:hyperlink>
      <w:r>
        <w:rPr>
          <w:rFonts w:cs="Times New Roman" w:ascii="Times New Roman" w:hAnsi="Times New Roman"/>
          <w:sz w:val="24"/>
          <w:szCs w:val="24"/>
        </w:rPr>
        <w:t xml:space="preserve"> -de-tarugos-18252607. Acesso em: 10 out. 2023.</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BRANDALEZE, E.; GRESIA, G. D.; SANTINI, L.; MARTÍN, A.; BENAVIDEZ, E. </w:t>
      </w:r>
      <w:r>
        <w:rPr>
          <w:rFonts w:cs="Times New Roman" w:ascii="Times New Roman" w:hAnsi="Times New Roman"/>
          <w:bCs/>
          <w:sz w:val="24"/>
          <w:szCs w:val="24"/>
        </w:rPr>
        <w:t>Mould fluxes in the steel continuous casting process</w:t>
      </w:r>
      <w:r>
        <w:rPr>
          <w:rFonts w:cs="Times New Roman" w:ascii="Times New Roman" w:hAnsi="Times New Roman"/>
          <w:sz w:val="24"/>
          <w:szCs w:val="24"/>
        </w:rPr>
        <w:t xml:space="preserve">. </w:t>
      </w:r>
      <w:r>
        <w:rPr>
          <w:rFonts w:cs="Times New Roman" w:ascii="Times New Roman" w:hAnsi="Times New Roman"/>
          <w:i/>
          <w:iCs/>
          <w:sz w:val="24"/>
          <w:szCs w:val="24"/>
        </w:rPr>
        <w:t>In</w:t>
      </w:r>
      <w:r>
        <w:rPr>
          <w:rFonts w:cs="Times New Roman" w:ascii="Times New Roman" w:hAnsi="Times New Roman"/>
          <w:sz w:val="24"/>
          <w:szCs w:val="24"/>
        </w:rPr>
        <w:t xml:space="preserve">: SRINIVASAN, M. (ed.). </w:t>
      </w:r>
      <w:r>
        <w:rPr>
          <w:rFonts w:cs="Times New Roman" w:ascii="Times New Roman" w:hAnsi="Times New Roman"/>
          <w:b/>
          <w:bCs/>
          <w:sz w:val="24"/>
          <w:szCs w:val="24"/>
        </w:rPr>
        <w:t xml:space="preserve">Science and Technology of Casting </w:t>
      </w:r>
      <w:r>
        <w:rPr>
          <w:rFonts w:cs="Times New Roman" w:ascii="Times New Roman" w:hAnsi="Times New Roman"/>
          <w:b/>
          <w:bCs/>
          <w:i/>
          <w:iCs/>
          <w:sz w:val="24"/>
          <w:szCs w:val="24"/>
        </w:rPr>
        <w:t>Processes</w:t>
      </w:r>
      <w:r>
        <w:rPr>
          <w:rFonts w:cs="Times New Roman" w:ascii="Times New Roman" w:hAnsi="Times New Roman"/>
          <w:sz w:val="24"/>
          <w:szCs w:val="24"/>
        </w:rPr>
        <w:t>. [S.l.]: Intech Open, 2012. cap. 7.</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7260" w:leader="none"/>
        </w:tabs>
        <w:spacing w:lineRule="auto" w:line="240" w:before="0" w:after="0"/>
        <w:rPr>
          <w:rFonts w:ascii="Times New Roman" w:hAnsi="Times New Roman" w:cs="Times New Roman"/>
          <w:sz w:val="28"/>
          <w:szCs w:val="24"/>
        </w:rPr>
      </w:pPr>
      <w:r>
        <w:rPr>
          <w:rFonts w:cs="Times New Roman" w:ascii="Times New Roman" w:hAnsi="Times New Roman"/>
          <w:sz w:val="24"/>
        </w:rPr>
        <w:t xml:space="preserve">CALLISTER JR., William D.; RETHWISCH, David G. </w:t>
      </w:r>
      <w:r>
        <w:rPr>
          <w:rStyle w:val="Strong"/>
          <w:rFonts w:cs="Times New Roman" w:ascii="Times New Roman" w:hAnsi="Times New Roman"/>
          <w:sz w:val="24"/>
        </w:rPr>
        <w:t>Ciência e Engenharia de Materiais</w:t>
      </w:r>
      <w:r>
        <w:rPr>
          <w:rFonts w:cs="Times New Roman" w:ascii="Times New Roman" w:hAnsi="Times New Roman"/>
          <w:sz w:val="24"/>
        </w:rPr>
        <w:t>. 9. ed. Rio de Janeiro: LTC, 2016.</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CASSAR, D. R. </w:t>
      </w:r>
      <w:r>
        <w:rPr>
          <w:rFonts w:cs="Times New Roman" w:ascii="Times New Roman" w:hAnsi="Times New Roman"/>
          <w:b/>
          <w:sz w:val="24"/>
          <w:szCs w:val="24"/>
        </w:rPr>
        <w:t xml:space="preserve">Nucleação, crescimento de cristais, relaxação e escoamento viscoso em vidros de diopsídio e diborato de lítio. </w:t>
      </w:r>
      <w:r>
        <w:rPr>
          <w:rFonts w:cs="Times New Roman" w:ascii="Times New Roman" w:hAnsi="Times New Roman"/>
          <w:bCs/>
          <w:sz w:val="24"/>
          <w:szCs w:val="24"/>
        </w:rPr>
        <w:t>2014</w:t>
      </w:r>
      <w:r>
        <w:rPr>
          <w:rFonts w:cs="Times New Roman" w:ascii="Times New Roman" w:hAnsi="Times New Roman"/>
          <w:sz w:val="24"/>
          <w:szCs w:val="24"/>
        </w:rPr>
        <w:t>. Tese (Doutorado em Engenharia de Materiais) – Faculdade de Engenharia, Universidade Federal de São Carlos, São Paulo, 2014.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CENTRO DE INFORMAÇÃO METAL MECÂNICA.</w:t>
      </w:r>
      <w:r>
        <w:rPr>
          <w:rFonts w:cs="Times New Roman" w:ascii="Times New Roman" w:hAnsi="Times New Roman"/>
          <w:b/>
          <w:sz w:val="24"/>
          <w:szCs w:val="24"/>
        </w:rPr>
        <w:t xml:space="preserve"> Noções sobre a teoria de Solidificação</w:t>
      </w:r>
      <w:r>
        <w:rPr>
          <w:rFonts w:cs="Times New Roman" w:ascii="Times New Roman" w:hAnsi="Times New Roman"/>
          <w:sz w:val="24"/>
          <w:szCs w:val="24"/>
        </w:rPr>
        <w:t>. Disponível em: https://www.cimm.com.br/portal/material_didatico/3681-nocoes-sobre-a-teoria-de-solidificacao. Acesso em: 12 dez. 2023.</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rPr>
          <w:rStyle w:val="LinkdaInternet"/>
          <w:rFonts w:cs="Times New Roman"/>
          <w:sz w:val="24"/>
          <w:szCs w:val="24"/>
        </w:rPr>
      </w:pPr>
      <w:r>
        <w:rPr>
          <w:rFonts w:cs="Times New Roman" w:ascii="Times New Roman" w:hAnsi="Times New Roman"/>
          <w:sz w:val="24"/>
          <w:szCs w:val="24"/>
        </w:rPr>
        <w:t xml:space="preserve">CHILOV, A. </w:t>
      </w:r>
      <w:r>
        <w:rPr>
          <w:rFonts w:cs="Times New Roman" w:ascii="Times New Roman" w:hAnsi="Times New Roman"/>
          <w:b/>
          <w:sz w:val="24"/>
          <w:szCs w:val="24"/>
        </w:rPr>
        <w:t>Mass spectrometric study of volatile components in mould powders</w:t>
      </w:r>
      <w:r>
        <w:rPr>
          <w:rFonts w:cs="Times New Roman" w:ascii="Times New Roman" w:hAnsi="Times New Roman"/>
          <w:sz w:val="24"/>
          <w:szCs w:val="24"/>
        </w:rPr>
        <w:t xml:space="preserve">. 2005. Thesis (Doctor of Science in Technology) - Faculty of Materials Science and Engineering, Helsinki University of Technology, Espoo, 2005. </w:t>
      </w:r>
    </w:p>
    <w:p>
      <w:pPr>
        <w:pStyle w:val="Corpodetexto"/>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DEDAVID, B.A., GOMES, C. I., MACHADO, G. </w:t>
      </w:r>
      <w:r>
        <w:rPr>
          <w:rFonts w:cs="Times New Roman" w:ascii="Times New Roman" w:hAnsi="Times New Roman"/>
          <w:b/>
          <w:bCs/>
          <w:sz w:val="24"/>
          <w:szCs w:val="24"/>
        </w:rPr>
        <w:t xml:space="preserve">Microscopia Eletrônica de Varredura: </w:t>
      </w:r>
      <w:r>
        <w:rPr>
          <w:rFonts w:cs="Times New Roman" w:ascii="Times New Roman" w:hAnsi="Times New Roman"/>
          <w:sz w:val="24"/>
          <w:szCs w:val="24"/>
        </w:rPr>
        <w:t>Aplicações e preparação de amostras. Porto Alegre:</w:t>
      </w:r>
      <w:r>
        <w:rPr>
          <w:rFonts w:cs="Times New Roman" w:ascii="Times New Roman" w:hAnsi="Times New Roman"/>
          <w:b/>
          <w:bCs/>
          <w:sz w:val="24"/>
          <w:szCs w:val="24"/>
        </w:rPr>
        <w:t xml:space="preserve"> </w:t>
      </w:r>
      <w:r>
        <w:rPr>
          <w:rFonts w:cs="Times New Roman" w:ascii="Times New Roman" w:hAnsi="Times New Roman"/>
          <w:sz w:val="24"/>
          <w:szCs w:val="24"/>
        </w:rPr>
        <w:t>EDIPUCRS, 2007.</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FOKIN, V. M. et al. </w:t>
      </w:r>
      <w:r>
        <w:rPr>
          <w:rFonts w:cs="Times New Roman" w:ascii="Times New Roman" w:hAnsi="Times New Roman"/>
          <w:b/>
          <w:sz w:val="24"/>
          <w:szCs w:val="24"/>
        </w:rPr>
        <w:t>Homogeneous Crystal Nucleation in Silicate Glasses Winter:</w:t>
      </w:r>
      <w:r>
        <w:rPr>
          <w:rFonts w:cs="Times New Roman" w:ascii="Times New Roman" w:hAnsi="Times New Roman"/>
          <w:sz w:val="24"/>
          <w:szCs w:val="24"/>
        </w:rPr>
        <w:t xml:space="preserve"> An </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Introduction to Igneous and Metamorphic Petrology, New</w:t>
      </w:r>
      <w:r>
        <w:rPr>
          <w:rFonts w:cs="Times New Roman" w:ascii="Times New Roman" w:hAnsi="Times New Roman"/>
          <w:spacing w:val="-10"/>
          <w:sz w:val="24"/>
          <w:szCs w:val="24"/>
        </w:rPr>
        <w:t xml:space="preserve"> </w:t>
      </w:r>
      <w:r>
        <w:rPr>
          <w:rFonts w:cs="Times New Roman" w:ascii="Times New Roman" w:hAnsi="Times New Roman"/>
          <w:sz w:val="24"/>
          <w:szCs w:val="24"/>
        </w:rPr>
        <w:t>Jersey: Prentice Hall, 2001.</w:t>
      </w:r>
    </w:p>
    <w:p>
      <w:pPr>
        <w:pStyle w:val="Corpodetexto"/>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FREDRIKSSON, H. </w:t>
      </w:r>
      <w:r>
        <w:rPr>
          <w:rFonts w:cs="Times New Roman" w:ascii="Times New Roman" w:hAnsi="Times New Roman"/>
          <w:b/>
          <w:bCs/>
          <w:sz w:val="24"/>
          <w:szCs w:val="24"/>
        </w:rPr>
        <w:t>The mechanism of peritectic reaction in iron-base alloys</w:t>
      </w:r>
      <w:r>
        <w:rPr>
          <w:rFonts w:cs="Times New Roman" w:ascii="Times New Roman" w:hAnsi="Times New Roman"/>
          <w:sz w:val="24"/>
          <w:szCs w:val="24"/>
        </w:rPr>
        <w:t>. Harvard: Metal Science, p. 77-86, 1976.</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Roman" w:hAnsi="Times-Roman" w:cs="Times-Roman"/>
          <w:sz w:val="24"/>
          <w:szCs w:val="24"/>
        </w:rPr>
      </w:pPr>
      <w:r>
        <w:rPr>
          <w:rFonts w:cs="Times-Roman" w:ascii="Times-Roman" w:hAnsi="Times-Roman"/>
          <w:sz w:val="24"/>
          <w:szCs w:val="24"/>
        </w:rPr>
        <w:t xml:space="preserve">GABBOTT, P. </w:t>
      </w:r>
      <w:r>
        <w:rPr>
          <w:rFonts w:cs="Times-Bold" w:ascii="Times-Bold" w:hAnsi="Times-Bold"/>
          <w:b/>
          <w:bCs/>
          <w:sz w:val="24"/>
          <w:szCs w:val="24"/>
        </w:rPr>
        <w:t>Principles and Applications of Thermal Analysis</w:t>
      </w:r>
      <w:r>
        <w:rPr>
          <w:rFonts w:cs="Times-Roman" w:ascii="Times-Roman" w:hAnsi="Times-Roman"/>
          <w:sz w:val="24"/>
          <w:szCs w:val="24"/>
        </w:rPr>
        <w:t>. 1. ed. Oxford: Blackwell, 2008.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GARCIA, A.; SPIM, J.A.; DOS SANTOS, C.A.; CHEUNG, N. </w:t>
      </w:r>
      <w:r>
        <w:rPr>
          <w:rFonts w:cs="Times New Roman" w:ascii="Times New Roman" w:hAnsi="Times New Roman"/>
          <w:b/>
          <w:sz w:val="24"/>
          <w:szCs w:val="24"/>
        </w:rPr>
        <w:t>Lingotamento contínuo de aços</w:t>
      </w:r>
      <w:r>
        <w:rPr>
          <w:rFonts w:cs="Times New Roman" w:ascii="Times New Roman" w:hAnsi="Times New Roman"/>
          <w:sz w:val="24"/>
          <w:szCs w:val="24"/>
        </w:rPr>
        <w:t>. São Paulo: Associação Brasileira de Metalurgia e Materiais, 2006.</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Ttulo1"/>
        <w:spacing w:lineRule="auto" w:line="240" w:before="0" w:after="0"/>
        <w:textAlignment w:val="baseline"/>
        <w:rPr/>
      </w:pPr>
      <w:r>
        <w:rPr>
          <w:rFonts w:cs="Times New Roman"/>
          <w:b w:val="false"/>
          <w:sz w:val="24"/>
          <w:szCs w:val="24"/>
        </w:rPr>
        <w:t xml:space="preserve">GEOLOGIA SEM RUMO. </w:t>
      </w:r>
      <w:r>
        <w:rPr>
          <w:rFonts w:cs="Times New Roman"/>
          <w:sz w:val="24"/>
          <w:szCs w:val="24"/>
        </w:rPr>
        <w:t>Entendendo as taxas de nucleação e crescimento em rochas magmáticas</w:t>
      </w:r>
      <w:r>
        <w:rPr>
          <w:rFonts w:cs="Times New Roman"/>
          <w:b w:val="false"/>
          <w:sz w:val="24"/>
          <w:szCs w:val="24"/>
        </w:rPr>
        <w:t xml:space="preserve">. Disponível em: </w:t>
      </w:r>
      <w:hyperlink r:id="rId57">
        <w:r>
          <w:rPr>
            <w:rStyle w:val="LinkdaInternet"/>
            <w:rFonts w:cs="Times New Roman"/>
            <w:b w:val="false"/>
            <w:color w:val="auto"/>
            <w:sz w:val="24"/>
            <w:szCs w:val="24"/>
            <w:u w:val="none"/>
          </w:rPr>
          <w:t>https://geologiasemrumo.wordpress.com/2016/02/ 03</w:t>
        </w:r>
      </w:hyperlink>
      <w:r>
        <w:rPr>
          <w:rFonts w:cs="Times New Roman"/>
          <w:b w:val="false"/>
          <w:sz w:val="24"/>
          <w:szCs w:val="24"/>
        </w:rPr>
        <w:t>/ entendendo-as-taxas-de-nucleacao-e-crescimento-em-rochas-magmaticas/. Acesso em: 15 out. 2023.</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GUIMARÃES, L. M.; ZANOTTO, E. D. </w:t>
      </w:r>
      <w:r>
        <w:rPr>
          <w:rFonts w:cs="Times New Roman" w:ascii="Times New Roman" w:hAnsi="Times New Roman"/>
          <w:b/>
          <w:sz w:val="24"/>
          <w:szCs w:val="24"/>
        </w:rPr>
        <w:t>Cristalização e taxa crítica de resfriamento para vitrificação do poli(sebacato de decametileno).</w:t>
      </w:r>
      <w:r>
        <w:rPr>
          <w:rFonts w:cs="Times New Roman" w:ascii="Times New Roman" w:hAnsi="Times New Roman"/>
          <w:sz w:val="24"/>
          <w:szCs w:val="24"/>
        </w:rPr>
        <w:t xml:space="preserve"> Química Nova, v. 26, n. 2, p. 202–207, mar. 2003.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GUO, J.; WEN, G.; TANG, P.; FU, J.; GU, S. </w:t>
      </w:r>
      <w:r>
        <w:rPr>
          <w:rFonts w:cs="Times New Roman" w:ascii="Times New Roman" w:hAnsi="Times New Roman"/>
          <w:b/>
          <w:sz w:val="24"/>
          <w:szCs w:val="24"/>
        </w:rPr>
        <w:t>Analysis of crack susceptibility of peritectic steels based on surface roughness</w:t>
      </w:r>
      <w:r>
        <w:rPr>
          <w:rFonts w:cs="Times New Roman" w:ascii="Times New Roman" w:hAnsi="Times New Roman"/>
          <w:sz w:val="24"/>
          <w:szCs w:val="24"/>
        </w:rPr>
        <w:t>. Weinhein: Steel Research International, v. 91, 2019. DOI: 10.1002/srin.201900376. Disponível em: https://onlinelibrary.wiley.com/doi/epdf/10.1002/srin.201900376. Acesso em: 20 out. 2023.</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HENRIQUE, G. E.; SOUSA JUNIOR, J. A.; FURTADO, H. S.; OLIVEIRA J. R.; VIEIRA, E. A. </w:t>
      </w:r>
      <w:r>
        <w:rPr>
          <w:rFonts w:cs="Times New Roman" w:ascii="Times New Roman" w:hAnsi="Times New Roman"/>
          <w:b/>
          <w:sz w:val="24"/>
          <w:szCs w:val="24"/>
        </w:rPr>
        <w:t>Relação entre parâmetros operacionais e trincas superficiais longitudinais em placas de aços peritéticos produzidas por lingotamento contínuo</w:t>
      </w:r>
      <w:r>
        <w:rPr>
          <w:rFonts w:cs="Times New Roman" w:ascii="Times New Roman" w:hAnsi="Times New Roman"/>
          <w:sz w:val="24"/>
          <w:szCs w:val="24"/>
        </w:rPr>
        <w:t xml:space="preserve">. </w:t>
      </w:r>
      <w:r>
        <w:rPr>
          <w:rFonts w:cs="Times New Roman" w:ascii="Times New Roman" w:hAnsi="Times New Roman"/>
          <w:i/>
          <w:iCs/>
          <w:sz w:val="24"/>
          <w:szCs w:val="24"/>
        </w:rPr>
        <w:t>ln</w:t>
      </w:r>
      <w:r>
        <w:rPr>
          <w:rFonts w:cs="Times New Roman" w:ascii="Times New Roman" w:hAnsi="Times New Roman"/>
          <w:sz w:val="24"/>
          <w:szCs w:val="24"/>
        </w:rPr>
        <w:t>: </w:t>
      </w:r>
      <w:r>
        <w:rPr>
          <w:rFonts w:cs="Times New Roman" w:ascii="Times New Roman" w:hAnsi="Times New Roman"/>
          <w:i/>
          <w:iCs/>
          <w:sz w:val="24"/>
          <w:szCs w:val="24"/>
        </w:rPr>
        <w:t>Seminário de Aciaria - Internacional, 43º</w:t>
      </w:r>
      <w:r>
        <w:rPr>
          <w:rFonts w:cs="Times New Roman" w:ascii="Times New Roman" w:hAnsi="Times New Roman"/>
          <w:sz w:val="24"/>
          <w:szCs w:val="24"/>
        </w:rPr>
        <w:t>, 2012, Rio de Janeiro, ABM, p. 481-490, 2012. DOI 10.5151/2594-5300-20839</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7260" w:leader="none"/>
        </w:tabs>
        <w:spacing w:lineRule="auto" w:line="240" w:before="0" w:after="0"/>
        <w:rPr/>
      </w:pPr>
      <w:r>
        <w:rPr>
          <w:rFonts w:cs="Times New Roman" w:ascii="Times New Roman" w:hAnsi="Times New Roman"/>
          <w:sz w:val="24"/>
          <w:szCs w:val="24"/>
        </w:rPr>
        <w:t xml:space="preserve">INSTITUTO AÇO BRASIL. </w:t>
      </w:r>
      <w:r>
        <w:rPr>
          <w:rStyle w:val="Strong"/>
          <w:rFonts w:cs="Times New Roman" w:ascii="Times New Roman" w:hAnsi="Times New Roman"/>
          <w:sz w:val="24"/>
          <w:szCs w:val="24"/>
        </w:rPr>
        <w:t>Processo siderúrgico</w:t>
      </w:r>
      <w:r>
        <w:rPr>
          <w:rFonts w:cs="Times New Roman" w:ascii="Times New Roman" w:hAnsi="Times New Roman"/>
          <w:sz w:val="24"/>
          <w:szCs w:val="24"/>
        </w:rPr>
        <w:t xml:space="preserve">. Disponível em: </w:t>
      </w:r>
      <w:hyperlink r:id="rId58">
        <w:r>
          <w:rPr>
            <w:rStyle w:val="LinkdaInternet"/>
            <w:rFonts w:cs="Times New Roman" w:ascii="Times New Roman" w:hAnsi="Times New Roman"/>
            <w:color w:val="auto"/>
            <w:sz w:val="24"/>
            <w:szCs w:val="24"/>
            <w:u w:val="none"/>
          </w:rPr>
          <w:t>https://acobrasil.org.br/site/</w:t>
        </w:r>
      </w:hyperlink>
      <w:r>
        <w:rPr>
          <w:rFonts w:cs="Times New Roman" w:ascii="Times New Roman" w:hAnsi="Times New Roman"/>
          <w:sz w:val="24"/>
          <w:szCs w:val="24"/>
        </w:rPr>
        <w:t xml:space="preserve"> processo-siderurgico/. Acesso em: 25 out. 2023.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IRVING, W.R: </w:t>
      </w:r>
      <w:r>
        <w:rPr>
          <w:rFonts w:cs="Times New Roman" w:ascii="Times New Roman" w:hAnsi="Times New Roman"/>
          <w:b/>
          <w:sz w:val="24"/>
          <w:szCs w:val="24"/>
        </w:rPr>
        <w:t>Continuous casting of steel</w:t>
      </w:r>
      <w:r>
        <w:rPr>
          <w:rFonts w:cs="Times New Roman" w:ascii="Times New Roman" w:hAnsi="Times New Roman"/>
          <w:sz w:val="24"/>
          <w:szCs w:val="24"/>
        </w:rPr>
        <w:t>, London: The Institute of Materials, 1993.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KLUG, J. L.; HAGEMANN, R.; HECK, N. C.; VILELA, A. C. F.; HELLER, H. P.;</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SCHELLER, P. R. </w:t>
      </w:r>
      <w:r>
        <w:rPr>
          <w:rFonts w:cs="Times New Roman" w:ascii="Times New Roman" w:hAnsi="Times New Roman"/>
          <w:b/>
          <w:sz w:val="24"/>
          <w:szCs w:val="24"/>
        </w:rPr>
        <w:t xml:space="preserve">Fluorine-free mould powders for slab casting: </w:t>
      </w:r>
      <w:r>
        <w:rPr>
          <w:rFonts w:cs="Times New Roman" w:ascii="Times New Roman" w:hAnsi="Times New Roman"/>
          <w:bCs/>
          <w:sz w:val="24"/>
          <w:szCs w:val="24"/>
        </w:rPr>
        <w:t>Crystallization control in the CaO–SiO2–TiO2–Na2O–Al2O3 system</w:t>
      </w:r>
      <w:r>
        <w:rPr>
          <w:rFonts w:cs="Times New Roman" w:ascii="Times New Roman" w:hAnsi="Times New Roman"/>
          <w:sz w:val="24"/>
          <w:szCs w:val="24"/>
        </w:rPr>
        <w:t>. Weinhein: Steel Research International, v. 83, n. 12, p. 1186-1193, 2012.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color w:val="000000"/>
          <w:sz w:val="24"/>
          <w:szCs w:val="24"/>
          <w:highlight w:val="white"/>
        </w:rPr>
      </w:pPr>
      <w:r>
        <w:rPr>
          <w:rFonts w:cs="Times New Roman" w:ascii="Times New Roman" w:hAnsi="Times New Roman"/>
          <w:color w:val="000000"/>
          <w:sz w:val="24"/>
          <w:szCs w:val="24"/>
          <w:shd w:fill="FFFFFF" w:val="clear"/>
        </w:rPr>
        <w:t>KLUG, J. L. </w:t>
      </w:r>
      <w:r>
        <w:rPr>
          <w:rFonts w:cs="Times New Roman" w:ascii="Times New Roman" w:hAnsi="Times New Roman"/>
          <w:i/>
          <w:iCs/>
          <w:color w:val="000000"/>
          <w:sz w:val="24"/>
          <w:szCs w:val="24"/>
          <w:shd w:fill="FFFFFF" w:val="clear"/>
        </w:rPr>
        <w:t>et al</w:t>
      </w:r>
      <w:r>
        <w:rPr>
          <w:rFonts w:cs="Times New Roman" w:ascii="Times New Roman" w:hAnsi="Times New Roman"/>
          <w:color w:val="000000"/>
          <w:sz w:val="24"/>
          <w:szCs w:val="24"/>
          <w:shd w:fill="FFFFFF" w:val="clear"/>
        </w:rPr>
        <w:t xml:space="preserve">. </w:t>
      </w:r>
      <w:r>
        <w:rPr>
          <w:rFonts w:cs="Times New Roman" w:ascii="Times New Roman" w:hAnsi="Times New Roman"/>
          <w:b/>
          <w:color w:val="000000"/>
          <w:sz w:val="24"/>
          <w:szCs w:val="24"/>
          <w:shd w:fill="FFFFFF" w:val="clear"/>
        </w:rPr>
        <w:t>Disigning mould fluxes to prevent longitudinal cracking for peritectic stell slab casting</w:t>
      </w:r>
      <w:r>
        <w:rPr>
          <w:rFonts w:cs="Times New Roman" w:ascii="Times New Roman" w:hAnsi="Times New Roman"/>
          <w:color w:val="000000"/>
          <w:sz w:val="24"/>
          <w:szCs w:val="24"/>
          <w:shd w:fill="FFFFFF" w:val="clear"/>
        </w:rPr>
        <w:t>. Harvard, Ironmaking &amp; Steelmaking, v. 50, n. 10, p. 1451-1464, 2023. DOI: 10.1080/03019233.2023.2250047</w:t>
      </w:r>
    </w:p>
    <w:p>
      <w:pPr>
        <w:pStyle w:val="Corpodetexto"/>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Corpodetexto"/>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KLUG, Jeferson L.; SILVA, Daniel R. e colab. </w:t>
      </w:r>
      <w:r>
        <w:rPr>
          <w:rFonts w:cs="Times New Roman" w:ascii="Times New Roman" w:hAnsi="Times New Roman"/>
          <w:b/>
          <w:sz w:val="24"/>
          <w:szCs w:val="24"/>
        </w:rPr>
        <w:t>Fluorine-free mould powders for billet casting</w:t>
      </w:r>
      <w:r>
        <w:rPr>
          <w:rFonts w:cs="Times New Roman" w:ascii="Times New Roman" w:hAnsi="Times New Roman"/>
          <w:sz w:val="24"/>
          <w:szCs w:val="24"/>
        </w:rPr>
        <w:t xml:space="preserve"> - Technological parameters and industrial tests. Weinhein: Steel Research International, v. 83, n. 8, p. 791-799, 2012. DOI: 10.1002/srin.201200018</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KLUG, Jeferson L. </w:t>
      </w:r>
      <w:r>
        <w:rPr>
          <w:rFonts w:cs="Times New Roman" w:ascii="Times New Roman" w:hAnsi="Times New Roman"/>
          <w:b/>
          <w:sz w:val="24"/>
          <w:szCs w:val="24"/>
        </w:rPr>
        <w:t>Crystallisation control for fluorine-free slags using the single hot thermocouple technique</w:t>
      </w:r>
      <w:r>
        <w:rPr>
          <w:rFonts w:cs="Times New Roman" w:ascii="Times New Roman" w:hAnsi="Times New Roman"/>
          <w:sz w:val="24"/>
          <w:szCs w:val="24"/>
        </w:rPr>
        <w:t>. 2012. Tese (Doutorado binacional em Engenharia de Minas, Metais e Materiais) - Faculdade de Ciência e Tecnologia de Materiais, Universidade Federal do Rio Grande do Sul e Technische Universität Bergakademie Freiberg, Rio Grande do Sul, 2012.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KUO, M.C.; HUANG, J.C.; CHEN, M.; </w:t>
      </w:r>
      <w:r>
        <w:rPr>
          <w:rFonts w:cs="Times New Roman" w:ascii="Times New Roman" w:hAnsi="Times New Roman"/>
          <w:b/>
          <w:bCs/>
          <w:sz w:val="24"/>
          <w:szCs w:val="24"/>
        </w:rPr>
        <w:t>Non-isothermal crystallization kinetic behavior of alumina nanoparticle filled poly(ether ether ketone)</w:t>
      </w:r>
      <w:r>
        <w:rPr>
          <w:rFonts w:cs="Times New Roman" w:ascii="Times New Roman" w:hAnsi="Times New Roman"/>
          <w:b/>
          <w:sz w:val="24"/>
          <w:szCs w:val="24"/>
        </w:rPr>
        <w:t>.</w:t>
      </w:r>
      <w:r>
        <w:rPr>
          <w:rFonts w:cs="Times New Roman" w:ascii="Times New Roman" w:hAnsi="Times New Roman"/>
          <w:bCs/>
          <w:sz w:val="24"/>
          <w:szCs w:val="24"/>
        </w:rPr>
        <w:t xml:space="preserve"> Taiwan: Materials Chemistry and Physics</w:t>
      </w:r>
      <w:r>
        <w:rPr>
          <w:rFonts w:cs="Times New Roman" w:ascii="Times New Roman" w:hAnsi="Times New Roman"/>
          <w:sz w:val="24"/>
          <w:szCs w:val="24"/>
        </w:rPr>
        <w:t xml:space="preserve">, v. 99, </w:t>
      </w:r>
      <w:r>
        <w:rPr>
          <w:rFonts w:cs="Times New Roman" w:ascii="Times New Roman" w:hAnsi="Times New Roman"/>
          <w:bCs/>
          <w:sz w:val="24"/>
          <w:szCs w:val="24"/>
        </w:rPr>
        <w:t>p. 258-268,</w:t>
      </w:r>
      <w:r>
        <w:rPr>
          <w:rFonts w:cs="Times New Roman" w:ascii="Times New Roman" w:hAnsi="Times New Roman"/>
          <w:sz w:val="24"/>
          <w:szCs w:val="24"/>
        </w:rPr>
        <w:t xml:space="preserve"> 2006.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LIN, K. J.; CHUNG, Y.H. </w:t>
      </w:r>
      <w:r>
        <w:rPr>
          <w:rFonts w:cs="Times New Roman" w:ascii="Times New Roman" w:hAnsi="Times New Roman"/>
          <w:b/>
          <w:sz w:val="24"/>
          <w:szCs w:val="24"/>
        </w:rPr>
        <w:t>Selection of casting powder</w:t>
      </w:r>
      <w:r>
        <w:rPr>
          <w:rFonts w:cs="Times New Roman" w:ascii="Times New Roman" w:hAnsi="Times New Roman"/>
          <w:sz w:val="24"/>
          <w:szCs w:val="24"/>
        </w:rPr>
        <w:t>. China: Steel Technical Report, n.6, p. 71-79, 1992.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rFonts w:cs="Times New Roman" w:ascii="Times New Roman" w:hAnsi="Times New Roman"/>
          <w:sz w:val="24"/>
          <w:szCs w:val="24"/>
        </w:rPr>
        <w:t xml:space="preserve">LONG, X.; HE, S.; WANG, Q.; PISTORIUS, P. C. </w:t>
      </w:r>
      <w:r>
        <w:rPr>
          <w:rFonts w:cs="Times New Roman" w:ascii="Times New Roman" w:hAnsi="Times New Roman"/>
          <w:b/>
          <w:sz w:val="24"/>
          <w:szCs w:val="24"/>
        </w:rPr>
        <w:t>Structure of solidified films of mold flux for peritectic steel</w:t>
      </w:r>
      <w:r>
        <w:rPr>
          <w:rFonts w:cs="Times New Roman" w:ascii="Times New Roman" w:hAnsi="Times New Roman"/>
          <w:sz w:val="24"/>
          <w:szCs w:val="24"/>
        </w:rPr>
        <w:t xml:space="preserve">. Metallurgical and Materials Transactions B, v.48, 2017, Disponível em: </w:t>
      </w:r>
      <w:hyperlink r:id="rId59">
        <w:r>
          <w:rPr>
            <w:rStyle w:val="ListLabel107"/>
            <w:rFonts w:cs="Times New Roman" w:ascii="Times New Roman" w:hAnsi="Times New Roman"/>
            <w:sz w:val="24"/>
            <w:szCs w:val="24"/>
          </w:rPr>
          <w:t>https://www.academia.edu/123181526/Structure_of_Solidified</w:t>
        </w:r>
      </w:hyperlink>
      <w:r>
        <w:rPr>
          <w:rFonts w:cs="Times New Roman" w:ascii="Times New Roman" w:hAnsi="Times New Roman"/>
          <w:sz w:val="24"/>
          <w:szCs w:val="24"/>
        </w:rPr>
        <w:t xml:space="preserve"> Films of</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Mold_Flux_for_Peritectic_Steel. Acesso em: 30 set. 2023.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color w:val="FF0000"/>
          <w:sz w:val="24"/>
          <w:szCs w:val="24"/>
          <w:highlight w:val="white"/>
        </w:rPr>
      </w:pPr>
      <w:r>
        <w:rPr>
          <w:rFonts w:cs="Times New Roman" w:ascii="Times New Roman" w:hAnsi="Times New Roman"/>
          <w:sz w:val="24"/>
          <w:szCs w:val="24"/>
          <w:shd w:fill="FFFFFF" w:val="clear"/>
        </w:rPr>
        <w:t>MARTINS, R. S. </w:t>
      </w:r>
      <w:r>
        <w:rPr>
          <w:rFonts w:cs="Times New Roman" w:ascii="Times New Roman" w:hAnsi="Times New Roman"/>
          <w:b/>
          <w:bCs/>
          <w:sz w:val="24"/>
          <w:szCs w:val="24"/>
          <w:shd w:fill="FFFFFF" w:val="clear"/>
        </w:rPr>
        <w:t>Avaliação do consumo específico de pó fluxante e sua correlação com os parâmetros do lingotamento contínuo de placas</w:t>
      </w:r>
      <w:r>
        <w:rPr>
          <w:rFonts w:cs="Times New Roman" w:ascii="Times New Roman" w:hAnsi="Times New Roman"/>
          <w:sz w:val="24"/>
          <w:szCs w:val="24"/>
          <w:shd w:fill="FFFFFF" w:val="clear"/>
        </w:rPr>
        <w:t>. 2019. Dissertação (Mestrado em Engenharia Metalúrgica, Materiais e de Minas.) - Escola de Engenharia, Universidade Federal de Minas Gerais, Belo Horizonte, 2019.</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Roman" w:hAnsi="Times-Roman" w:cs="Times-Roman"/>
          <w:sz w:val="24"/>
          <w:szCs w:val="24"/>
        </w:rPr>
      </w:pPr>
      <w:r>
        <w:rPr>
          <w:rFonts w:cs="Times-Roman" w:ascii="Times-Roman" w:hAnsi="Times-Roman"/>
          <w:sz w:val="24"/>
          <w:szCs w:val="24"/>
        </w:rPr>
        <w:t xml:space="preserve">MATERIAL DIDÁTICO DO CURSO DE ENGENHARIA MECÂNICA UFPR. </w:t>
      </w:r>
      <w:r>
        <w:rPr>
          <w:rFonts w:cs="Times New Roman" w:ascii="Times New Roman" w:hAnsi="Times New Roman"/>
          <w:b/>
          <w:sz w:val="24"/>
        </w:rPr>
        <w:t>Transformações de Fase. Aula do capítulo 10</w:t>
      </w:r>
      <w:r>
        <w:rPr>
          <w:rFonts w:cs="Times-Roman" w:ascii="Times-Roman" w:hAnsi="Times-Roman"/>
          <w:sz w:val="26"/>
          <w:szCs w:val="24"/>
        </w:rPr>
        <w:t xml:space="preserve">. </w:t>
      </w:r>
      <w:r>
        <w:rPr>
          <w:rFonts w:cs="Times-Roman" w:ascii="Times-Roman" w:hAnsi="Times-Roman"/>
          <w:sz w:val="24"/>
          <w:szCs w:val="24"/>
        </w:rPr>
        <w:t>Engenharia Mecânica, Universidade Federal do Paraná. Disponível em: http://ftp.demec.ufpr.br/disciplinas/EngMec_NOT URNO/TM343/AULA%20Capitulo10.pdf. Acesso em: 22 out. 2023</w:t>
      </w:r>
    </w:p>
    <w:p>
      <w:pPr>
        <w:pStyle w:val="Normal"/>
        <w:spacing w:lineRule="auto" w:line="240" w:before="0" w:after="0"/>
        <w:rPr>
          <w:rFonts w:ascii="Times-Roman" w:hAnsi="Times-Roman" w:cs="Times-Roman"/>
          <w:sz w:val="24"/>
          <w:szCs w:val="24"/>
        </w:rPr>
      </w:pPr>
      <w:r>
        <w:rPr>
          <w:rFonts w:cs="Times-Roman" w:ascii="Times-Roman" w:hAnsi="Times-Roman"/>
          <w:sz w:val="24"/>
          <w:szCs w:val="24"/>
        </w:rPr>
      </w:r>
    </w:p>
    <w:p>
      <w:pPr>
        <w:pStyle w:val="Normal"/>
        <w:spacing w:lineRule="auto" w:line="240" w:before="0" w:after="0"/>
        <w:rPr>
          <w:rFonts w:ascii="Times-Roman" w:hAnsi="Times-Roman" w:cs="Times-Roman"/>
          <w:sz w:val="24"/>
          <w:szCs w:val="24"/>
        </w:rPr>
      </w:pPr>
      <w:r>
        <w:rPr>
          <w:rFonts w:cs="Times-Roman" w:ascii="Times-Roman" w:hAnsi="Times-Roman"/>
          <w:sz w:val="24"/>
          <w:szCs w:val="24"/>
        </w:rPr>
        <w:t xml:space="preserve">MEDEIROS, S. L. S. </w:t>
      </w:r>
      <w:r>
        <w:rPr>
          <w:rFonts w:cs="Times-Bold" w:ascii="Times-Bold" w:hAnsi="Times-Bold"/>
          <w:b/>
          <w:bCs/>
          <w:sz w:val="24"/>
          <w:szCs w:val="24"/>
        </w:rPr>
        <w:t xml:space="preserve">Estudo da cinética de cristalização de pós fluxantes vítreos à base de Cao/Al2O3 (livres de fluor e SiO2) para uso em lingotamento continuo de placas de aço trip/twip. </w:t>
      </w:r>
      <w:r>
        <w:rPr>
          <w:rFonts w:cs="Times-Roman" w:ascii="Times-Roman" w:hAnsi="Times-Roman"/>
          <w:sz w:val="24"/>
          <w:szCs w:val="24"/>
        </w:rPr>
        <w:t>2019. Dissertação (Mestrado em Engenharia e Ciências dos Materiais) -</w:t>
      </w:r>
      <w:r>
        <w:rPr>
          <w:rFonts w:eastAsia="TimesNewRomanPSMT" w:cs="TimesNewRomanPSMT" w:ascii="TimesNewRomanPSMT" w:hAnsi="TimesNewRomanPSMT"/>
          <w:sz w:val="24"/>
          <w:szCs w:val="24"/>
        </w:rPr>
        <w:t xml:space="preserve"> </w:t>
      </w:r>
      <w:r>
        <w:rPr>
          <w:rFonts w:cs="Times-Roman" w:ascii="Times-Roman" w:hAnsi="Times-Roman"/>
          <w:sz w:val="24"/>
          <w:szCs w:val="24"/>
        </w:rPr>
        <w:t xml:space="preserve">Centro de Tecnologia, Universidade Federal do Ceará. Fortaleza, 2019.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MENG, Y.; THOMAS, B. G., </w:t>
      </w:r>
      <w:r>
        <w:rPr>
          <w:rFonts w:cs="Times New Roman" w:ascii="Times New Roman" w:hAnsi="Times New Roman"/>
          <w:b/>
          <w:bCs/>
          <w:sz w:val="24"/>
          <w:szCs w:val="24"/>
        </w:rPr>
        <w:t xml:space="preserve">Heat-transfer and solidification model of continuous slab casting: </w:t>
      </w:r>
      <w:r>
        <w:rPr>
          <w:rFonts w:cs="Times New Roman" w:ascii="Times New Roman" w:hAnsi="Times New Roman"/>
          <w:sz w:val="24"/>
          <w:szCs w:val="24"/>
        </w:rPr>
        <w:t>CON1D. Champaign: Metallurgical and Transactions, 34B, p. 685-705, 2003.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MILLS, K. C.; BILLANY, T. J. H.; NORMATON, A. S.; WALKER, B.; GRIEVESON, P. </w:t>
      </w:r>
      <w:r>
        <w:rPr>
          <w:rFonts w:cs="Times New Roman" w:ascii="Times New Roman" w:hAnsi="Times New Roman"/>
          <w:b/>
          <w:sz w:val="24"/>
          <w:szCs w:val="24"/>
        </w:rPr>
        <w:t>Causes of sticker breakout during continuous casting</w:t>
      </w:r>
      <w:r>
        <w:rPr>
          <w:rFonts w:cs="Times New Roman" w:ascii="Times New Roman" w:hAnsi="Times New Roman"/>
          <w:sz w:val="24"/>
          <w:szCs w:val="24"/>
        </w:rPr>
        <w:t>. Ironmaking &amp; Steelmaking, v. 18, n. 4, p. 253-265, 1991.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1773"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MILLS, K.C.; FOX, A.B. </w:t>
      </w:r>
      <w:r>
        <w:rPr>
          <w:rFonts w:cs="Times New Roman" w:ascii="Times New Roman" w:hAnsi="Times New Roman"/>
          <w:b/>
          <w:sz w:val="24"/>
          <w:szCs w:val="24"/>
        </w:rPr>
        <w:t>The Role of Mould Fluxes in Continuous Casting</w:t>
      </w:r>
      <w:r>
        <w:rPr>
          <w:rFonts w:cs="Times New Roman" w:ascii="Times New Roman" w:hAnsi="Times New Roman"/>
          <w:b/>
          <w:bCs/>
          <w:sz w:val="24"/>
          <w:szCs w:val="24"/>
        </w:rPr>
        <w:t>-So Simple Yet So Complex</w:t>
      </w:r>
      <w:r>
        <w:rPr>
          <w:rFonts w:cs="Times New Roman" w:ascii="Times New Roman" w:hAnsi="Times New Roman"/>
          <w:sz w:val="24"/>
          <w:szCs w:val="24"/>
        </w:rPr>
        <w:t>. ISIJ International, v. 43, n. 10, p. 1479-1486, 2003.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MILLS, K.C.; FOX, A.B.; THACKRAY, R.P.; LI, Z. </w:t>
      </w:r>
      <w:r>
        <w:rPr>
          <w:rFonts w:cs="Times New Roman" w:ascii="Times New Roman" w:hAnsi="Times New Roman"/>
          <w:b/>
          <w:sz w:val="24"/>
          <w:szCs w:val="24"/>
        </w:rPr>
        <w:t>The performance and properties of mould fluxes</w:t>
      </w:r>
      <w:r>
        <w:rPr>
          <w:rFonts w:cs="Times New Roman" w:ascii="Times New Roman" w:hAnsi="Times New Roman"/>
          <w:sz w:val="24"/>
          <w:szCs w:val="24"/>
        </w:rPr>
        <w:t>, VII International on Molten Slags Fluxes and Salts, The South African Institute of Mining and Metallurgy, 2004.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MILLS, K.C.; FOX, A.; LI, Z.; THACKRAY, R. </w:t>
      </w:r>
      <w:r>
        <w:rPr>
          <w:rFonts w:cs="Times New Roman" w:ascii="Times New Roman" w:hAnsi="Times New Roman"/>
          <w:b/>
          <w:sz w:val="24"/>
          <w:szCs w:val="24"/>
        </w:rPr>
        <w:t xml:space="preserve">Performance and properties of mould fluxes. </w:t>
      </w:r>
      <w:r>
        <w:rPr>
          <w:rFonts w:cs="Times New Roman" w:ascii="Times New Roman" w:hAnsi="Times New Roman"/>
          <w:sz w:val="24"/>
          <w:szCs w:val="24"/>
        </w:rPr>
        <w:t>Ironmaking &amp; Steelmaking, v. 32, n.1, 2005.</w:t>
      </w:r>
    </w:p>
    <w:p>
      <w:pPr>
        <w:pStyle w:val="Normal"/>
        <w:tabs>
          <w:tab w:val="left" w:pos="1773"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1773"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MILLS, K.C.; DÄCKER, C.-Å. </w:t>
      </w:r>
      <w:r>
        <w:rPr>
          <w:rFonts w:cs="Times New Roman" w:ascii="Times New Roman" w:hAnsi="Times New Roman"/>
          <w:b/>
          <w:sz w:val="24"/>
          <w:szCs w:val="24"/>
        </w:rPr>
        <w:t>The Casting Powders</w:t>
      </w:r>
      <w:r>
        <w:rPr>
          <w:rFonts w:cs="Times New Roman" w:ascii="Times New Roman" w:hAnsi="Times New Roman"/>
          <w:sz w:val="24"/>
          <w:szCs w:val="24"/>
        </w:rPr>
        <w:t xml:space="preserve"> </w:t>
      </w:r>
      <w:r>
        <w:rPr>
          <w:rFonts w:cs="Times New Roman" w:ascii="Times New Roman" w:hAnsi="Times New Roman"/>
          <w:b/>
          <w:bCs/>
          <w:sz w:val="24"/>
          <w:szCs w:val="24"/>
        </w:rPr>
        <w:t>Book</w:t>
      </w:r>
      <w:r>
        <w:rPr>
          <w:rFonts w:cs="Times New Roman" w:ascii="Times New Roman" w:hAnsi="Times New Roman"/>
          <w:sz w:val="24"/>
          <w:szCs w:val="24"/>
        </w:rPr>
        <w:t>. Springer International Publishing, 2017.</w:t>
      </w:r>
    </w:p>
    <w:p>
      <w:pPr>
        <w:pStyle w:val="Normal"/>
        <w:tabs>
          <w:tab w:val="left" w:pos="1773"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1773"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MOORE, A.J.; PHILIPS R.J.; GIBBS, T.R.; </w:t>
      </w:r>
      <w:r>
        <w:rPr>
          <w:rFonts w:cs="Times New Roman" w:ascii="Times New Roman" w:hAnsi="Times New Roman"/>
          <w:b/>
          <w:bCs/>
          <w:sz w:val="24"/>
          <w:szCs w:val="24"/>
        </w:rPr>
        <w:t xml:space="preserve">An Overview For the Requirements of Continuous Casting Mould Fluxes. </w:t>
      </w:r>
      <w:r>
        <w:rPr>
          <w:rFonts w:cs="Times New Roman" w:ascii="Times New Roman" w:hAnsi="Times New Roman"/>
          <w:sz w:val="24"/>
          <w:szCs w:val="24"/>
        </w:rPr>
        <w:t>São Paulo:</w:t>
      </w:r>
      <w:r>
        <w:rPr>
          <w:rFonts w:cs="Times New Roman" w:ascii="Times New Roman" w:hAnsi="Times New Roman"/>
          <w:b/>
          <w:bCs/>
          <w:sz w:val="24"/>
          <w:szCs w:val="24"/>
        </w:rPr>
        <w:t xml:space="preserve"> </w:t>
      </w:r>
      <w:r>
        <w:rPr>
          <w:rFonts w:cs="Times New Roman" w:ascii="Times New Roman" w:hAnsi="Times New Roman"/>
          <w:sz w:val="24"/>
          <w:szCs w:val="24"/>
        </w:rPr>
        <w:t>Foseco Inc., 1991. Disponível em:</w:t>
      </w:r>
      <w:r>
        <w:rPr/>
        <w:t xml:space="preserve"> </w:t>
      </w:r>
      <w:r>
        <w:rPr>
          <w:rFonts w:cs="Times New Roman" w:ascii="Times New Roman" w:hAnsi="Times New Roman"/>
          <w:sz w:val="24"/>
          <w:szCs w:val="24"/>
        </w:rPr>
        <w:t>https://pt.scribd.com/document/48406602/10. Acesso em: 15 ago. 2024.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MYUNG-DUK SEO; CHENG-BIN SHI; JI-YEON BAEK; JUNG-WOOK CHO; SEON-HYO KIM. </w:t>
      </w:r>
      <w:r>
        <w:rPr>
          <w:rFonts w:cs="Times New Roman" w:ascii="Times New Roman" w:hAnsi="Times New Roman"/>
          <w:b/>
          <w:sz w:val="24"/>
          <w:szCs w:val="24"/>
        </w:rPr>
        <w:t>Kinetics of Isothermal Melt Crystallization in CaOSiO</w:t>
      </w:r>
      <w:r>
        <w:rPr>
          <w:rFonts w:cs="Times New Roman" w:ascii="Times New Roman" w:hAnsi="Times New Roman"/>
          <w:b/>
          <w:sz w:val="24"/>
          <w:szCs w:val="24"/>
          <w:vertAlign w:val="subscript"/>
        </w:rPr>
        <w:t>2</w:t>
      </w:r>
      <w:r>
        <w:rPr>
          <w:rFonts w:cs="Times New Roman" w:ascii="Times New Roman" w:hAnsi="Times New Roman"/>
          <w:b/>
          <w:sz w:val="24"/>
          <w:szCs w:val="24"/>
        </w:rPr>
        <w:t>-CaF</w:t>
      </w:r>
      <w:r>
        <w:rPr>
          <w:rFonts w:cs="Times New Roman" w:ascii="Times New Roman" w:hAnsi="Times New Roman"/>
          <w:b/>
          <w:sz w:val="24"/>
          <w:szCs w:val="24"/>
          <w:vertAlign w:val="subscript"/>
        </w:rPr>
        <w:t>2</w:t>
      </w:r>
      <w:r>
        <w:rPr>
          <w:rFonts w:cs="Times New Roman" w:ascii="Times New Roman" w:hAnsi="Times New Roman"/>
          <w:b/>
          <w:sz w:val="24"/>
          <w:szCs w:val="24"/>
        </w:rPr>
        <w:t>-Based Mold Fluxesdos</w:t>
      </w:r>
      <w:r>
        <w:rPr>
          <w:rFonts w:cs="Times New Roman" w:ascii="Times New Roman" w:hAnsi="Times New Roman"/>
          <w:sz w:val="24"/>
          <w:szCs w:val="24"/>
        </w:rPr>
        <w:t>. 2015. The Minerals, Metals &amp; Materials Society and ASM International, 2015. DOI:10.1007/s11663-015-0358-2. Disponível em: https://www.researchgate.net/publication/276161433_Kinetics_of_Isothermal_Melt_Crystallization_in_CaO-SiO2-CaF2-Based_Mold_Fluxes. Acesso em: 20 abr. 2023.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NAKATO, H.; OZAWA, M.; KINOSHITA, K.; HABU, Y.; EMI, T. </w:t>
      </w:r>
      <w:r>
        <w:rPr>
          <w:rFonts w:cs="Times New Roman" w:ascii="Times New Roman" w:hAnsi="Times New Roman"/>
          <w:b/>
          <w:sz w:val="24"/>
          <w:szCs w:val="24"/>
        </w:rPr>
        <w:t>Factors affecting the formation of shell and longitudinal cracks in mold during high speed continuous casting of slabs</w:t>
      </w:r>
      <w:r>
        <w:rPr>
          <w:rFonts w:cs="Times New Roman" w:ascii="Times New Roman" w:hAnsi="Times New Roman"/>
          <w:sz w:val="24"/>
          <w:szCs w:val="24"/>
        </w:rPr>
        <w:t>. J-STAGE: Transactions of the Iron and Steel Institute of Japan, v. 24, n. 11, p. 957-965, 1984. DOI: https://doi.org/10.2355/isijinternational1966.24.957</w:t>
      </w:r>
    </w:p>
    <w:p>
      <w:pPr>
        <w:pStyle w:val="Normal"/>
        <w:spacing w:lineRule="auto" w:line="240" w:before="0" w:after="0"/>
        <w:rPr>
          <w:rFonts w:ascii="Times New Roman" w:hAnsi="Times New Roman" w:cs="Times New Roman"/>
          <w:w w:val="105"/>
          <w:sz w:val="24"/>
          <w:szCs w:val="24"/>
        </w:rPr>
      </w:pPr>
      <w:r>
        <w:rPr>
          <w:rFonts w:cs="Times New Roman" w:ascii="Times New Roman" w:hAnsi="Times New Roman"/>
          <w:w w:val="105"/>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OLIVEIRA, L. J. S. </w:t>
      </w:r>
      <w:r>
        <w:rPr>
          <w:rFonts w:cs="Times New Roman" w:ascii="Times New Roman" w:hAnsi="Times New Roman"/>
          <w:b/>
          <w:sz w:val="24"/>
          <w:szCs w:val="24"/>
        </w:rPr>
        <w:t>Comportamento dos aços peritéticos durante a solidificação no molde de lingotamento contínuo</w:t>
      </w:r>
      <w:r>
        <w:rPr>
          <w:rFonts w:cs="Times New Roman" w:ascii="Times New Roman" w:hAnsi="Times New Roman"/>
          <w:sz w:val="24"/>
          <w:szCs w:val="24"/>
        </w:rPr>
        <w:t>. 2009. Dissertação (Mestrado em Engenharia de Materiais) – Faculdade de Engenharia, Universidade Federal de Minas Gerais, Belo Horizonte, 2009.</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1773"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PINHEIRO, C. A.; SAMARASEKERA, I. V.; BRIMACOMBE, J. K. </w:t>
      </w:r>
      <w:r>
        <w:rPr>
          <w:rFonts w:cs="Times New Roman" w:ascii="Times New Roman" w:hAnsi="Times New Roman"/>
          <w:b/>
          <w:bCs/>
          <w:sz w:val="24"/>
          <w:szCs w:val="24"/>
        </w:rPr>
        <w:t xml:space="preserve">Mold flux for continuous casting of steel, Part III. </w:t>
      </w:r>
      <w:r>
        <w:rPr>
          <w:rFonts w:cs="Times New Roman" w:ascii="Times New Roman" w:hAnsi="Times New Roman"/>
          <w:sz w:val="24"/>
          <w:szCs w:val="24"/>
        </w:rPr>
        <w:t>Vancouver: The University of British Columbia, 1994.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PINHEIRO, C.A.; SAMARASEKERA, I. V.; BRIMACOMBE, J. K.; </w:t>
      </w:r>
      <w:r>
        <w:rPr>
          <w:rFonts w:cs="Times New Roman" w:ascii="Times New Roman" w:hAnsi="Times New Roman"/>
          <w:b/>
          <w:bCs/>
          <w:sz w:val="24"/>
          <w:szCs w:val="24"/>
        </w:rPr>
        <w:t xml:space="preserve">Mold flux for continuous casting of steel. </w:t>
      </w:r>
      <w:r>
        <w:rPr>
          <w:rFonts w:cs="Times New Roman" w:ascii="Times New Roman" w:hAnsi="Times New Roman"/>
          <w:sz w:val="24"/>
          <w:szCs w:val="24"/>
        </w:rPr>
        <w:t>Ironmaking and Steelmaking, Part XV, p. 43-44, 1995.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PRIMETALS TECHNOLOGIES. </w:t>
      </w:r>
      <w:r>
        <w:rPr>
          <w:rFonts w:cs="Times New Roman" w:ascii="Times New Roman" w:hAnsi="Times New Roman"/>
          <w:b/>
          <w:sz w:val="24"/>
          <w:szCs w:val="24"/>
        </w:rPr>
        <w:t>Primetals technologies e tata steel europe concluem com sucesso o comissionamento remoto do sistema de automação de nível 2 para a máquina de lingotamento contínuo cc21</w:t>
      </w:r>
      <w:r>
        <w:rPr>
          <w:rFonts w:cs="Times New Roman" w:ascii="Times New Roman" w:hAnsi="Times New Roman"/>
          <w:sz w:val="24"/>
          <w:szCs w:val="24"/>
        </w:rPr>
        <w:t>, Imprensa &amp; Mídea, Notícias: 18 de setembro de 2019. Disponível em: https://www.primetals.com/pt/imprensa-midia/noticias/primetals-technologies-e-tata-steel-europe-concluem-com-sucesso-o-comissionamento-remoto-do-sistema-de-automacao-de-nivel-2-para-a-maquina-de-lingotamento-continuo-cc21. Acesso em: 12 out. 2023.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RIOS, P. R.; PADILHA A. F. </w:t>
      </w:r>
      <w:r>
        <w:rPr>
          <w:rFonts w:cs="Times New Roman" w:ascii="Times New Roman" w:hAnsi="Times New Roman"/>
          <w:b/>
          <w:sz w:val="24"/>
          <w:szCs w:val="24"/>
        </w:rPr>
        <w:t>Transformações de fase</w:t>
      </w:r>
      <w:r>
        <w:rPr>
          <w:rFonts w:cs="Times New Roman" w:ascii="Times New Roman" w:hAnsi="Times New Roman"/>
          <w:sz w:val="24"/>
          <w:szCs w:val="24"/>
        </w:rPr>
        <w:t xml:space="preserve">. São Paulo: </w:t>
      </w:r>
      <w:r>
        <w:rPr>
          <w:rFonts w:cs="Times New Roman" w:ascii="Times New Roman" w:hAnsi="Times New Roman"/>
          <w:bCs/>
          <w:sz w:val="24"/>
          <w:szCs w:val="24"/>
        </w:rPr>
        <w:t>Artliber Editora Ltda, 2007.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color w:val="000000"/>
          <w:sz w:val="24"/>
          <w:szCs w:val="24"/>
          <w:highlight w:val="white"/>
        </w:rPr>
      </w:pPr>
      <w:r>
        <w:rPr>
          <w:rFonts w:cs="Times New Roman" w:ascii="Times New Roman" w:hAnsi="Times New Roman"/>
          <w:color w:val="000000"/>
          <w:sz w:val="24"/>
          <w:szCs w:val="24"/>
          <w:shd w:fill="FFFFFF" w:val="clear"/>
        </w:rPr>
        <w:t xml:space="preserve">RIZZO, E. M. D. S. </w:t>
      </w:r>
      <w:r>
        <w:rPr>
          <w:rFonts w:cs="Times New Roman" w:ascii="Times New Roman" w:hAnsi="Times New Roman"/>
          <w:b/>
          <w:color w:val="000000"/>
          <w:sz w:val="24"/>
          <w:szCs w:val="24"/>
          <w:shd w:fill="FFFFFF" w:val="clear"/>
        </w:rPr>
        <w:t>Introdução aos processos siderúrgicos</w:t>
      </w:r>
      <w:r>
        <w:rPr>
          <w:rFonts w:cs="Times New Roman" w:ascii="Times New Roman" w:hAnsi="Times New Roman"/>
          <w:color w:val="000000"/>
          <w:sz w:val="24"/>
          <w:szCs w:val="24"/>
          <w:shd w:fill="FFFFFF" w:val="clear"/>
        </w:rPr>
        <w:t>. São Paulo: ABM, 2005 (Série: Capacitação técnica em processos siderúrgicos).</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RIZZO, Ernandes Marcos da Silveira. </w:t>
      </w:r>
      <w:r>
        <w:rPr>
          <w:rFonts w:cs="Times New Roman" w:ascii="Times New Roman" w:hAnsi="Times New Roman"/>
          <w:b/>
          <w:sz w:val="24"/>
          <w:szCs w:val="24"/>
        </w:rPr>
        <w:t>Introdução aos Processos de Lingotamento Contínuo dos Aços</w:t>
      </w:r>
      <w:r>
        <w:rPr>
          <w:rFonts w:cs="Times New Roman" w:ascii="Times New Roman" w:hAnsi="Times New Roman"/>
          <w:sz w:val="24"/>
          <w:szCs w:val="24"/>
        </w:rPr>
        <w:t>. ed.:1, São Paulo: ABM, 2006.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SANTOS, S.C. </w:t>
      </w:r>
      <w:r>
        <w:rPr>
          <w:rFonts w:cs="Times New Roman" w:ascii="Times New Roman" w:hAnsi="Times New Roman"/>
          <w:b/>
          <w:sz w:val="24"/>
          <w:szCs w:val="24"/>
        </w:rPr>
        <w:t>Caracterização de poli(m-fenileno isoftalamida) modificado com 2-iodo-1-etanol</w:t>
      </w:r>
      <w:r>
        <w:rPr>
          <w:rFonts w:cs="Times New Roman" w:ascii="Times New Roman" w:hAnsi="Times New Roman"/>
          <w:sz w:val="24"/>
          <w:szCs w:val="24"/>
        </w:rPr>
        <w:t>. 2010. Dissertação (Mestrado em Química) - Faculdade de Química, Universidade Federal de Pelotas - RS, Pelotas, 2010.</w:t>
      </w:r>
    </w:p>
    <w:p>
      <w:pPr>
        <w:pStyle w:val="Normal"/>
        <w:spacing w:lineRule="auto" w:line="240" w:before="0" w:after="0"/>
        <w:rPr>
          <w:rFonts w:ascii="Times New Roman" w:hAnsi="Times New Roman" w:cs="Times New Roman"/>
          <w:spacing w:val="-2"/>
          <w:sz w:val="24"/>
          <w:szCs w:val="24"/>
        </w:rPr>
      </w:pPr>
      <w:r>
        <w:rPr>
          <w:rFonts w:cs="Times New Roman" w:ascii="Times New Roman" w:hAnsi="Times New Roman"/>
          <w:sz w:val="24"/>
          <w:szCs w:val="24"/>
        </w:rPr>
        <w:t>SCHULTZ,</w:t>
      </w:r>
      <w:r>
        <w:rPr>
          <w:rFonts w:cs="Times New Roman" w:ascii="Times New Roman" w:hAnsi="Times New Roman"/>
          <w:spacing w:val="-4"/>
          <w:sz w:val="24"/>
          <w:szCs w:val="24"/>
        </w:rPr>
        <w:t xml:space="preserve"> </w:t>
      </w:r>
      <w:r>
        <w:rPr>
          <w:rFonts w:cs="Times New Roman" w:ascii="Times New Roman" w:hAnsi="Times New Roman"/>
          <w:sz w:val="24"/>
          <w:szCs w:val="24"/>
        </w:rPr>
        <w:t>J.M.</w:t>
      </w:r>
      <w:r>
        <w:rPr>
          <w:rFonts w:cs="Times New Roman" w:ascii="Times New Roman" w:hAnsi="Times New Roman"/>
          <w:spacing w:val="41"/>
          <w:sz w:val="24"/>
          <w:szCs w:val="24"/>
        </w:rPr>
        <w:t xml:space="preserve"> </w:t>
      </w:r>
      <w:r>
        <w:rPr>
          <w:rFonts w:cs="Times New Roman" w:ascii="Times New Roman" w:hAnsi="Times New Roman"/>
          <w:b/>
          <w:sz w:val="24"/>
          <w:szCs w:val="24"/>
        </w:rPr>
        <w:t>Polymer</w:t>
      </w:r>
      <w:r>
        <w:rPr>
          <w:rFonts w:cs="Times New Roman" w:ascii="Times New Roman" w:hAnsi="Times New Roman"/>
          <w:b/>
          <w:spacing w:val="-3"/>
          <w:sz w:val="24"/>
          <w:szCs w:val="24"/>
        </w:rPr>
        <w:t xml:space="preserve"> </w:t>
      </w:r>
      <w:r>
        <w:rPr>
          <w:rFonts w:cs="Times New Roman" w:ascii="Times New Roman" w:hAnsi="Times New Roman"/>
          <w:b/>
          <w:sz w:val="24"/>
          <w:szCs w:val="24"/>
        </w:rPr>
        <w:t>Materials</w:t>
      </w:r>
      <w:r>
        <w:rPr>
          <w:rFonts w:cs="Times New Roman" w:ascii="Times New Roman" w:hAnsi="Times New Roman"/>
          <w:b/>
          <w:spacing w:val="-4"/>
          <w:sz w:val="24"/>
          <w:szCs w:val="24"/>
        </w:rPr>
        <w:t xml:space="preserve"> </w:t>
      </w:r>
      <w:r>
        <w:rPr>
          <w:rFonts w:cs="Times New Roman" w:ascii="Times New Roman" w:hAnsi="Times New Roman"/>
          <w:b/>
          <w:sz w:val="24"/>
          <w:szCs w:val="24"/>
        </w:rPr>
        <w:t>Science</w:t>
      </w:r>
      <w:r>
        <w:rPr>
          <w:rFonts w:cs="Times New Roman" w:ascii="Times New Roman" w:hAnsi="Times New Roman"/>
          <w:sz w:val="24"/>
          <w:szCs w:val="24"/>
        </w:rPr>
        <w:t>. v. 16.</w:t>
      </w:r>
      <w:r>
        <w:rPr>
          <w:rFonts w:cs="Times New Roman" w:ascii="Times New Roman" w:hAnsi="Times New Roman"/>
          <w:spacing w:val="-3"/>
          <w:sz w:val="24"/>
          <w:szCs w:val="24"/>
        </w:rPr>
        <w:t xml:space="preserve"> Nova Jersey: </w:t>
      </w:r>
      <w:r>
        <w:rPr>
          <w:rFonts w:cs="Times New Roman" w:ascii="Times New Roman" w:hAnsi="Times New Roman"/>
          <w:sz w:val="24"/>
          <w:szCs w:val="24"/>
        </w:rPr>
        <w:t>Prentice-Hall,</w:t>
      </w:r>
      <w:r>
        <w:rPr>
          <w:rFonts w:cs="Times New Roman" w:ascii="Times New Roman" w:hAnsi="Times New Roman"/>
          <w:spacing w:val="-3"/>
          <w:sz w:val="24"/>
          <w:szCs w:val="24"/>
        </w:rPr>
        <w:t xml:space="preserve"> </w:t>
      </w:r>
      <w:r>
        <w:rPr>
          <w:rFonts w:cs="Times New Roman" w:ascii="Times New Roman" w:hAnsi="Times New Roman"/>
          <w:spacing w:val="-2"/>
          <w:sz w:val="24"/>
          <w:szCs w:val="24"/>
        </w:rPr>
        <w:t>1974. 524 p.</w:t>
      </w:r>
    </w:p>
    <w:p>
      <w:pPr>
        <w:pStyle w:val="Normal"/>
        <w:spacing w:lineRule="auto" w:line="240" w:before="0" w:after="0"/>
        <w:rPr>
          <w:rFonts w:ascii="Times New Roman" w:hAnsi="Times New Roman" w:cs="Times New Roman"/>
          <w:spacing w:val="-2"/>
          <w:sz w:val="24"/>
          <w:szCs w:val="24"/>
        </w:rPr>
      </w:pPr>
      <w:r>
        <w:rPr>
          <w:rFonts w:cs="Times New Roman" w:ascii="Times New Roman" w:hAnsi="Times New Roman"/>
          <w:spacing w:val="-2"/>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SCHULTZ, T; JANKE, D; HELLER, H.P.; LYCHATZ, B.</w:t>
      </w:r>
      <w:r>
        <w:rPr>
          <w:rFonts w:cs="Times New Roman" w:ascii="Times New Roman" w:hAnsi="Times New Roman"/>
          <w:bCs/>
          <w:sz w:val="24"/>
          <w:szCs w:val="24"/>
        </w:rPr>
        <w:t xml:space="preserve"> </w:t>
      </w:r>
      <w:r>
        <w:rPr>
          <w:rFonts w:cs="Times New Roman" w:ascii="Times New Roman" w:hAnsi="Times New Roman"/>
          <w:b/>
          <w:sz w:val="24"/>
          <w:szCs w:val="24"/>
        </w:rPr>
        <w:t>Entwicklung umweltfreundlicher Stranggießschlacken.</w:t>
      </w:r>
      <w:r>
        <w:rPr>
          <w:rFonts w:cs="Times New Roman" w:ascii="Times New Roman" w:hAnsi="Times New Roman"/>
          <w:bCs/>
          <w:sz w:val="24"/>
          <w:szCs w:val="24"/>
        </w:rPr>
        <w:t xml:space="preserve"> Alemanha: </w:t>
      </w:r>
      <w:r>
        <w:rPr>
          <w:rFonts w:cs="Times New Roman" w:ascii="Times New Roman" w:hAnsi="Times New Roman"/>
          <w:sz w:val="24"/>
          <w:szCs w:val="24"/>
        </w:rPr>
        <w:t>Stahl Und Eisen Legare Street Press, v. 128, n. 4, p. 65-78, 2008.</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eastAsia="TimesNewRomanPSMT" w:cs="Times New Roman"/>
          <w:sz w:val="24"/>
          <w:szCs w:val="24"/>
        </w:rPr>
      </w:pPr>
      <w:r>
        <w:rPr>
          <w:rFonts w:eastAsia="TimesNewRomanPSMT" w:cs="Times New Roman" w:ascii="Times New Roman" w:hAnsi="Times New Roman"/>
          <w:sz w:val="24"/>
          <w:szCs w:val="24"/>
        </w:rPr>
        <w:t xml:space="preserve">ŠESTÁK, J.; BERGGREN, G. </w:t>
      </w:r>
      <w:r>
        <w:rPr>
          <w:rFonts w:eastAsia="TimesNewRomanPSMT" w:cs="Times New Roman" w:ascii="Times New Roman" w:hAnsi="Times New Roman"/>
          <w:b/>
          <w:sz w:val="24"/>
          <w:szCs w:val="24"/>
        </w:rPr>
        <w:t>Study of the kinetics of the mechanism of solid-state reactions at increasing temperatures</w:t>
      </w:r>
      <w:r>
        <w:rPr>
          <w:rFonts w:eastAsia="TimesNewRomanPSMT" w:cs="Times New Roman" w:ascii="Times New Roman" w:hAnsi="Times New Roman"/>
          <w:sz w:val="24"/>
          <w:szCs w:val="24"/>
        </w:rPr>
        <w:t xml:space="preserve">. Belgium: </w:t>
      </w:r>
      <w:r>
        <w:rPr>
          <w:rFonts w:eastAsia="TimesNewRomanPSMT" w:cs="Times New Roman" w:ascii="Times New Roman" w:hAnsi="Times New Roman"/>
          <w:bCs/>
          <w:sz w:val="24"/>
          <w:szCs w:val="24"/>
        </w:rPr>
        <w:t>Elsevier Publishing Company</w:t>
      </w:r>
      <w:r>
        <w:rPr>
          <w:rFonts w:eastAsia="TimesNewRomanPSMT" w:cs="Times New Roman" w:ascii="Times New Roman" w:hAnsi="Times New Roman"/>
          <w:sz w:val="24"/>
          <w:szCs w:val="24"/>
        </w:rPr>
        <w:t>, p. 1-12, 1971.</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left" w:pos="7260" w:leader="none"/>
        </w:tabs>
        <w:spacing w:lineRule="auto" w:line="240" w:before="0" w:after="0"/>
        <w:rPr>
          <w:rFonts w:ascii="Times New Roman" w:hAnsi="Times New Roman" w:cs="Times New Roman"/>
          <w:sz w:val="28"/>
          <w:szCs w:val="24"/>
        </w:rPr>
      </w:pPr>
      <w:r>
        <w:rPr>
          <w:rFonts w:cs="Times New Roman" w:ascii="Times New Roman" w:hAnsi="Times New Roman"/>
          <w:sz w:val="24"/>
        </w:rPr>
        <w:t xml:space="preserve">SHACKELFORD, James F. </w:t>
      </w:r>
      <w:r>
        <w:rPr>
          <w:rStyle w:val="Strong"/>
          <w:rFonts w:cs="Times New Roman" w:ascii="Times New Roman" w:hAnsi="Times New Roman"/>
          <w:sz w:val="24"/>
        </w:rPr>
        <w:t>Introduction to Materials Science for Engineers</w:t>
      </w:r>
      <w:r>
        <w:rPr>
          <w:rFonts w:cs="Times New Roman" w:ascii="Times New Roman" w:hAnsi="Times New Roman"/>
          <w:sz w:val="24"/>
        </w:rPr>
        <w:t>. 7. ed. U</w:t>
      </w:r>
      <w:r>
        <w:rPr>
          <w:rFonts w:cs="Times New Roman" w:ascii="Times New Roman" w:hAnsi="Times New Roman"/>
          <w:spacing w:val="-3"/>
          <w:sz w:val="24"/>
          <w:szCs w:val="24"/>
        </w:rPr>
        <w:t xml:space="preserve"> Nova Jersey:</w:t>
      </w:r>
      <w:r>
        <w:rPr>
          <w:rFonts w:cs="Times New Roman" w:ascii="Times New Roman" w:hAnsi="Times New Roman"/>
          <w:sz w:val="24"/>
        </w:rPr>
        <w:t xml:space="preserve"> Prentice-Hall, 2008.</w:t>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SHELBY, J. E. </w:t>
      </w:r>
      <w:r>
        <w:rPr>
          <w:rFonts w:cs="Times New Roman" w:ascii="Times New Roman" w:hAnsi="Times New Roman"/>
          <w:b/>
          <w:bCs/>
          <w:sz w:val="24"/>
          <w:szCs w:val="24"/>
        </w:rPr>
        <w:t>Introduction to Glass Science and Technology</w:t>
      </w:r>
      <w:r>
        <w:rPr>
          <w:rFonts w:cs="Times New Roman" w:ascii="Times New Roman" w:hAnsi="Times New Roman"/>
          <w:sz w:val="24"/>
          <w:szCs w:val="24"/>
        </w:rPr>
        <w:t>. The Royal Society of Chemistry, 2. ed., 2005. DOI:10.1039/9781847551160-FP005. Disponível em: https://www.researchgate.net/publication/236024112_Introduction_to_Glass_Science_and_Technology. Acesso em: 25 ago. 2023.</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Default"/>
        <w:rPr>
          <w:highlight w:val="white"/>
        </w:rPr>
      </w:pPr>
      <w:r>
        <w:rPr>
          <w:shd w:fill="FFFFFF" w:val="clear"/>
        </w:rPr>
        <w:t>SIDEL, S. M. </w:t>
      </w:r>
      <w:r>
        <w:rPr>
          <w:i/>
          <w:iCs/>
          <w:shd w:fill="FFFFFF" w:val="clear"/>
        </w:rPr>
        <w:t>et al</w:t>
      </w:r>
      <w:r>
        <w:rPr>
          <w:shd w:fill="FFFFFF" w:val="clear"/>
        </w:rPr>
        <w:t>. </w:t>
      </w:r>
      <w:r>
        <w:rPr>
          <w:b/>
          <w:bCs/>
          <w:shd w:fill="FFFFFF" w:val="clear"/>
        </w:rPr>
        <w:t>Expoente de Avrami pela equação de JMAK para método não-isotérmico de análise térmica</w:t>
      </w:r>
      <w:r>
        <w:rPr>
          <w:bCs/>
          <w:shd w:fill="FFFFFF" w:val="clear"/>
        </w:rPr>
        <w:t>.</w:t>
      </w:r>
      <w:r>
        <w:rPr>
          <w:shd w:fill="FFFFFF" w:val="clear"/>
        </w:rPr>
        <w:t xml:space="preserve"> Journal of Experimental Techniques and Instrumentation, v. 1, 2. ed., 2018. </w:t>
      </w:r>
      <w:r>
        <w:rPr/>
        <w:t xml:space="preserve">DOI: 10.30609/JETI.2018-2.5566. </w:t>
      </w:r>
      <w:r>
        <w:rPr>
          <w:shd w:fill="FFFFFF" w:val="clear"/>
        </w:rPr>
        <w:t xml:space="preserve">Disponível em: https://www.researchgate.net/publication/347938142_EXPOENTE_DE_AVRAMI_PELA_EQUACAO_DE_JMAK_PARA_METODO_NAO-ISOTERMICO_DE_ANALISE_TERMICA. Acesso em: 25 set. 2023. </w:t>
      </w:r>
    </w:p>
    <w:p>
      <w:pPr>
        <w:pStyle w:val="Default"/>
        <w:rPr/>
      </w:pPr>
      <w:r>
        <w:rPr/>
      </w:r>
    </w:p>
    <w:p>
      <w:pPr>
        <w:pStyle w:val="Normal"/>
        <w:spacing w:lineRule="auto" w:line="240" w:before="0" w:after="0"/>
        <w:rPr>
          <w:rFonts w:ascii="Times New Roman" w:hAnsi="Times New Roman" w:cs="Times New Roman"/>
          <w:sz w:val="24"/>
          <w:szCs w:val="24"/>
        </w:rPr>
      </w:pPr>
      <w:r>
        <w:rPr>
          <w:rFonts w:eastAsia="TimesNewRomanPSMT" w:cs="Times New Roman" w:ascii="Times New Roman" w:hAnsi="Times New Roman"/>
          <w:sz w:val="24"/>
          <w:szCs w:val="24"/>
        </w:rPr>
        <w:t xml:space="preserve">ŠIMON, J. </w:t>
      </w:r>
      <w:r>
        <w:rPr>
          <w:rFonts w:eastAsia="TimesNewRomanPSMT" w:cs="Times New Roman" w:ascii="Times New Roman" w:hAnsi="Times New Roman"/>
          <w:b/>
          <w:sz w:val="24"/>
          <w:szCs w:val="24"/>
        </w:rPr>
        <w:t xml:space="preserve">Isoconversional Methods-Fundamentals: </w:t>
      </w:r>
      <w:r>
        <w:rPr>
          <w:rFonts w:eastAsia="TimesNewRomanPSMT" w:cs="Times New Roman" w:ascii="Times New Roman" w:hAnsi="Times New Roman"/>
          <w:bCs/>
          <w:sz w:val="24"/>
          <w:szCs w:val="24"/>
        </w:rPr>
        <w:t>meaning and application</w:t>
      </w:r>
      <w:r>
        <w:rPr>
          <w:rFonts w:eastAsia="TimesNewRomanPSMT" w:cs="Times New Roman" w:ascii="Times New Roman" w:hAnsi="Times New Roman"/>
          <w:sz w:val="24"/>
          <w:szCs w:val="24"/>
        </w:rPr>
        <w:t xml:space="preserve">. </w:t>
      </w:r>
      <w:r>
        <w:rPr>
          <w:rFonts w:eastAsia="TimesNewRomanPSMT" w:cs="Times New Roman" w:ascii="Times New Roman" w:hAnsi="Times New Roman"/>
          <w:bCs/>
          <w:sz w:val="24"/>
          <w:szCs w:val="24"/>
        </w:rPr>
        <w:t>Journal of Thermal Analysis and Calorimetry</w:t>
      </w:r>
      <w:r>
        <w:rPr>
          <w:rFonts w:eastAsia="TimesNewRomanPSMT" w:cs="Times New Roman" w:ascii="Times New Roman" w:hAnsi="Times New Roman"/>
          <w:sz w:val="24"/>
          <w:szCs w:val="24"/>
        </w:rPr>
        <w:t>, v. 76, p.123-132, 2004. Disponível: https://link.springer.com/article/10.1023/B:JTAN.0000027811.80036.6c#citeas. Acesso em: 05 ago. 2023.</w:t>
      </w:r>
    </w:p>
    <w:p>
      <w:pPr>
        <w:pStyle w:val="Normal"/>
        <w:spacing w:lineRule="auto" w:line="240" w:before="0" w:after="0"/>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Corpodetexto"/>
        <w:spacing w:lineRule="auto" w:line="240" w:before="0" w:after="0"/>
        <w:rPr>
          <w:rFonts w:ascii="Times New Roman" w:hAnsi="Times New Roman" w:cs="Times New Roman"/>
          <w:sz w:val="24"/>
          <w:szCs w:val="24"/>
        </w:rPr>
      </w:pPr>
      <w:r>
        <w:rPr>
          <w:rFonts w:cs="Times New Roman" w:ascii="Times New Roman" w:hAnsi="Times New Roman"/>
          <w:sz w:val="24"/>
          <w:szCs w:val="24"/>
        </w:rPr>
        <w:t>SKOGLUND,</w:t>
      </w:r>
      <w:r>
        <w:rPr>
          <w:rFonts w:cs="Times New Roman" w:ascii="Times New Roman" w:hAnsi="Times New Roman"/>
          <w:spacing w:val="80"/>
          <w:sz w:val="24"/>
          <w:szCs w:val="24"/>
        </w:rPr>
        <w:t xml:space="preserve"> </w:t>
      </w:r>
      <w:r>
        <w:rPr>
          <w:rFonts w:cs="Times New Roman" w:ascii="Times New Roman" w:hAnsi="Times New Roman"/>
          <w:sz w:val="24"/>
          <w:szCs w:val="24"/>
        </w:rPr>
        <w:t>P.;</w:t>
      </w:r>
      <w:r>
        <w:rPr>
          <w:rFonts w:cs="Times New Roman" w:ascii="Times New Roman" w:hAnsi="Times New Roman"/>
          <w:spacing w:val="80"/>
          <w:sz w:val="24"/>
          <w:szCs w:val="24"/>
        </w:rPr>
        <w:t xml:space="preserve"> </w:t>
      </w:r>
      <w:r>
        <w:rPr>
          <w:rFonts w:cs="Times New Roman" w:ascii="Times New Roman" w:hAnsi="Times New Roman"/>
          <w:sz w:val="24"/>
          <w:szCs w:val="24"/>
        </w:rPr>
        <w:t>FRASSON,</w:t>
      </w:r>
      <w:r>
        <w:rPr>
          <w:rFonts w:cs="Times New Roman" w:ascii="Times New Roman" w:hAnsi="Times New Roman"/>
          <w:spacing w:val="80"/>
          <w:sz w:val="24"/>
          <w:szCs w:val="24"/>
        </w:rPr>
        <w:t xml:space="preserve"> </w:t>
      </w:r>
      <w:r>
        <w:rPr>
          <w:rFonts w:cs="Times New Roman" w:ascii="Times New Roman" w:hAnsi="Times New Roman"/>
          <w:sz w:val="24"/>
          <w:szCs w:val="24"/>
        </w:rPr>
        <w:t>A.</w:t>
      </w:r>
      <w:r>
        <w:rPr>
          <w:rFonts w:cs="Times New Roman" w:ascii="Times New Roman" w:hAnsi="Times New Roman"/>
          <w:spacing w:val="80"/>
          <w:sz w:val="24"/>
          <w:szCs w:val="24"/>
        </w:rPr>
        <w:t xml:space="preserve"> </w:t>
      </w:r>
      <w:r>
        <w:rPr>
          <w:rFonts w:cs="Times New Roman" w:ascii="Times New Roman" w:hAnsi="Times New Roman"/>
          <w:b/>
          <w:sz w:val="24"/>
          <w:szCs w:val="24"/>
        </w:rPr>
        <w:t>Continuous</w:t>
      </w:r>
      <w:r>
        <w:rPr>
          <w:rFonts w:cs="Times New Roman" w:ascii="Times New Roman" w:hAnsi="Times New Roman"/>
          <w:b/>
          <w:spacing w:val="80"/>
          <w:sz w:val="24"/>
          <w:szCs w:val="24"/>
        </w:rPr>
        <w:t xml:space="preserve"> </w:t>
      </w:r>
      <w:r>
        <w:rPr>
          <w:rFonts w:cs="Times New Roman" w:ascii="Times New Roman" w:hAnsi="Times New Roman"/>
          <w:b/>
          <w:sz w:val="24"/>
          <w:szCs w:val="24"/>
        </w:rPr>
        <w:t>cooling</w:t>
      </w:r>
      <w:r>
        <w:rPr>
          <w:rFonts w:cs="Times New Roman" w:ascii="Times New Roman" w:hAnsi="Times New Roman"/>
          <w:b/>
          <w:spacing w:val="80"/>
          <w:sz w:val="24"/>
          <w:szCs w:val="24"/>
        </w:rPr>
        <w:t xml:space="preserve"> </w:t>
      </w:r>
      <w:r>
        <w:rPr>
          <w:rFonts w:cs="Times New Roman" w:ascii="Times New Roman" w:hAnsi="Times New Roman"/>
          <w:b/>
          <w:sz w:val="24"/>
          <w:szCs w:val="24"/>
        </w:rPr>
        <w:t>and</w:t>
      </w:r>
      <w:r>
        <w:rPr>
          <w:rFonts w:cs="Times New Roman" w:ascii="Times New Roman" w:hAnsi="Times New Roman"/>
          <w:b/>
          <w:spacing w:val="80"/>
          <w:sz w:val="24"/>
          <w:szCs w:val="24"/>
        </w:rPr>
        <w:t xml:space="preserve"> </w:t>
      </w:r>
      <w:r>
        <w:rPr>
          <w:rFonts w:cs="Times New Roman" w:ascii="Times New Roman" w:hAnsi="Times New Roman"/>
          <w:b/>
          <w:sz w:val="24"/>
          <w:szCs w:val="24"/>
        </w:rPr>
        <w:t>isothermal</w:t>
      </w:r>
      <w:r>
        <w:rPr>
          <w:rFonts w:cs="Times New Roman" w:ascii="Times New Roman" w:hAnsi="Times New Roman"/>
          <w:b/>
          <w:spacing w:val="80"/>
          <w:sz w:val="24"/>
          <w:szCs w:val="24"/>
        </w:rPr>
        <w:t xml:space="preserve"> </w:t>
      </w:r>
      <w:r>
        <w:rPr>
          <w:rFonts w:cs="Times New Roman" w:ascii="Times New Roman" w:hAnsi="Times New Roman"/>
          <w:b/>
          <w:sz w:val="24"/>
          <w:szCs w:val="24"/>
        </w:rPr>
        <w:t>crystallization</w:t>
      </w:r>
      <w:r>
        <w:rPr>
          <w:rFonts w:cs="Times New Roman" w:ascii="Times New Roman" w:hAnsi="Times New Roman"/>
          <w:b/>
          <w:spacing w:val="80"/>
          <w:sz w:val="24"/>
          <w:szCs w:val="24"/>
        </w:rPr>
        <w:t xml:space="preserve"> </w:t>
      </w:r>
      <w:r>
        <w:rPr>
          <w:rFonts w:cs="Times New Roman" w:ascii="Times New Roman" w:hAnsi="Times New Roman"/>
          <w:b/>
          <w:sz w:val="24"/>
          <w:szCs w:val="24"/>
        </w:rPr>
        <w:t>of polycaproprolactone</w:t>
      </w:r>
      <w:r>
        <w:rPr>
          <w:rFonts w:cs="Times New Roman" w:ascii="Times New Roman" w:hAnsi="Times New Roman"/>
          <w:sz w:val="24"/>
          <w:szCs w:val="24"/>
        </w:rPr>
        <w:t>. Journal of Applied Polymer Science. v. 61, n.13, p. 2455-2465, 1996. DOI: https://doi.org/10.1002/(SICI)1097-4628(19960926)61:13&lt;2455::AID-APP25&gt;3.0.CO;2-1</w:t>
      </w:r>
    </w:p>
    <w:p>
      <w:pPr>
        <w:pStyle w:val="Normal"/>
        <w:spacing w:lineRule="auto" w:line="240" w:before="0" w:after="0"/>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spacing w:lineRule="auto" w:line="240" w:before="0" w:after="0"/>
        <w:rPr>
          <w:rFonts w:ascii="Times New Roman" w:hAnsi="Times New Roman" w:cs="Times New Roman"/>
          <w:b/>
          <w:b/>
          <w:bCs/>
          <w:sz w:val="44"/>
          <w:szCs w:val="44"/>
        </w:rPr>
      </w:pPr>
      <w:r>
        <w:rPr>
          <w:rFonts w:cs="Times New Roman" w:ascii="Times New Roman" w:hAnsi="Times New Roman"/>
          <w:sz w:val="24"/>
          <w:szCs w:val="24"/>
        </w:rPr>
        <w:t xml:space="preserve">SRIDHAR, S.; MILLS, K. C.; AFRANGE, O. D. C.; LORZ, H. P.; CARLI, R. </w:t>
      </w:r>
      <w:r>
        <w:rPr>
          <w:rFonts w:cs="Times New Roman" w:ascii="Times New Roman" w:hAnsi="Times New Roman"/>
          <w:b/>
          <w:bCs/>
          <w:sz w:val="24"/>
          <w:szCs w:val="44"/>
        </w:rPr>
        <w:t>Break temperatures of mould fluxes and their relevance to continuous casting</w:t>
      </w:r>
      <w:r>
        <w:rPr>
          <w:rFonts w:cs="Times New Roman" w:ascii="Times New Roman" w:hAnsi="Times New Roman"/>
          <w:bCs/>
          <w:sz w:val="24"/>
          <w:szCs w:val="44"/>
        </w:rPr>
        <w:t xml:space="preserve">. </w:t>
      </w:r>
      <w:r>
        <w:rPr>
          <w:rFonts w:cs="Times New Roman" w:ascii="Times New Roman" w:hAnsi="Times New Roman"/>
          <w:sz w:val="24"/>
          <w:szCs w:val="14"/>
        </w:rPr>
        <w:t>Ironmaking &amp; Steelmaking, v. 27, n. 3, p. 238-242, 2000. DOI: 10.1179/030192300677534</w:t>
      </w:r>
      <w:r>
        <w:rPr>
          <w:rFonts w:cs="Times New Roman" w:ascii="Times New Roman" w:hAnsi="Times New Roman"/>
          <w:b/>
          <w:bCs/>
          <w:sz w:val="44"/>
          <w:szCs w:val="44"/>
        </w:rPr>
        <w:t xml:space="preserve"> </w:t>
      </w:r>
    </w:p>
    <w:p>
      <w:pPr>
        <w:pStyle w:val="Normal"/>
        <w:spacing w:lineRule="auto" w:line="240" w:before="0" w:after="0"/>
        <w:rPr>
          <w:rFonts w:ascii="Times New Roman" w:hAnsi="Times New Roman" w:cs="Times New Roman"/>
          <w:sz w:val="4"/>
          <w:szCs w:val="24"/>
        </w:rPr>
      </w:pPr>
      <w:r>
        <w:rPr>
          <w:rFonts w:cs="Times New Roman" w:ascii="Times New Roman" w:hAnsi="Times New Roman"/>
          <w:b/>
          <w:bCs/>
          <w:sz w:val="24"/>
          <w:szCs w:val="44"/>
        </w:rPr>
        <w:t xml:space="preserve">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SRIDHAR, S. </w:t>
      </w:r>
      <w:r>
        <w:rPr>
          <w:rFonts w:cs="Times New Roman" w:ascii="Times New Roman" w:hAnsi="Times New Roman"/>
          <w:b/>
          <w:sz w:val="24"/>
          <w:szCs w:val="24"/>
        </w:rPr>
        <w:t>Pertinent properties for metals and slags in continuous casting</w:t>
      </w:r>
      <w:r>
        <w:rPr>
          <w:rFonts w:cs="Times New Roman" w:ascii="Times New Roman" w:hAnsi="Times New Roman"/>
          <w:sz w:val="24"/>
          <w:szCs w:val="24"/>
        </w:rPr>
        <w:t>: The making, shaping and treating of steel. Pittsburgh: AISE Steel Foundation, 2003.</w:t>
      </w:r>
    </w:p>
    <w:p>
      <w:pPr>
        <w:pStyle w:val="Normal"/>
        <w:spacing w:lineRule="auto" w:line="240" w:before="0" w:after="0"/>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WANG, W.; CAI, D.; ZHANG, L. A. </w:t>
      </w:r>
      <w:r>
        <w:rPr>
          <w:rFonts w:cs="Times New Roman" w:ascii="Times New Roman" w:hAnsi="Times New Roman"/>
          <w:b/>
          <w:sz w:val="24"/>
          <w:szCs w:val="24"/>
        </w:rPr>
        <w:t>Review of Fluorine-free Mold Flux Development</w:t>
      </w:r>
      <w:r>
        <w:rPr>
          <w:rFonts w:cs="Times New Roman" w:ascii="Times New Roman" w:hAnsi="Times New Roman"/>
          <w:sz w:val="24"/>
          <w:szCs w:val="24"/>
        </w:rPr>
        <w:t xml:space="preserve">. </w:t>
      </w:r>
      <w:r>
        <w:rPr>
          <w:rFonts w:cs="Times New Roman" w:ascii="Times New Roman" w:hAnsi="Times New Roman"/>
          <w:bCs/>
          <w:sz w:val="24"/>
          <w:szCs w:val="24"/>
        </w:rPr>
        <w:t>ISIJ International</w:t>
      </w:r>
      <w:r>
        <w:rPr>
          <w:rFonts w:cs="Times New Roman" w:ascii="Times New Roman" w:hAnsi="Times New Roman"/>
          <w:sz w:val="24"/>
          <w:szCs w:val="24"/>
        </w:rPr>
        <w:t>, v. 58, n. 11, p. 1957-1964, 2018.</w:t>
      </w:r>
    </w:p>
    <w:p>
      <w:pPr>
        <w:pStyle w:val="Normal"/>
        <w:tabs>
          <w:tab w:val="left" w:pos="7260" w:leader="none"/>
        </w:tabs>
        <w:spacing w:lineRule="auto" w:line="240" w:before="0" w:after="0"/>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tabs>
          <w:tab w:val="left" w:pos="7260"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ZANOTTO, E. D.; MAURO, J. C. </w:t>
      </w:r>
      <w:r>
        <w:rPr>
          <w:rFonts w:cs="Times New Roman" w:ascii="Times New Roman" w:hAnsi="Times New Roman"/>
          <w:b/>
          <w:sz w:val="24"/>
          <w:szCs w:val="24"/>
        </w:rPr>
        <w:t xml:space="preserve">The glassy state of matter: </w:t>
      </w:r>
      <w:r>
        <w:rPr>
          <w:rFonts w:cs="Times New Roman" w:ascii="Times New Roman" w:hAnsi="Times New Roman"/>
          <w:bCs/>
          <w:sz w:val="24"/>
          <w:szCs w:val="24"/>
        </w:rPr>
        <w:t>Its definition and ultimate fate</w:t>
      </w:r>
      <w:r>
        <w:rPr>
          <w:rFonts w:cs="Times New Roman" w:ascii="Times New Roman" w:hAnsi="Times New Roman"/>
          <w:sz w:val="24"/>
          <w:szCs w:val="24"/>
        </w:rPr>
        <w:t xml:space="preserve">. </w:t>
      </w:r>
      <w:r>
        <w:rPr>
          <w:rFonts w:cs="Times New Roman" w:ascii="Times New Roman" w:hAnsi="Times New Roman"/>
          <w:bCs/>
          <w:sz w:val="24"/>
          <w:szCs w:val="24"/>
        </w:rPr>
        <w:t>Journal of Non-Crystalline Solids</w:t>
      </w:r>
      <w:r>
        <w:rPr>
          <w:rFonts w:cs="Times New Roman" w:ascii="Times New Roman" w:hAnsi="Times New Roman"/>
          <w:sz w:val="24"/>
          <w:szCs w:val="24"/>
        </w:rPr>
        <w:t>, v. 471, n.3, p. 490-495, 2017. DOI:10.1016/j.jnoncrysol.2017.05.019. Disponível em: https://www.sciencedirect.com/science/article/pii/S0022309317302685. Acesso em: 10 ago. 2023.</w:t>
      </w:r>
    </w:p>
    <w:p>
      <w:pPr>
        <w:pStyle w:val="Normal"/>
        <w:spacing w:lineRule="auto" w:line="240" w:before="0" w:after="0"/>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tabs>
          <w:tab w:val="left" w:pos="7260" w:leader="none"/>
        </w:tabs>
        <w:spacing w:lineRule="auto" w:line="240" w:before="0" w:after="0"/>
        <w:jc w:val="both"/>
        <w:rPr>
          <w:rFonts w:ascii="Times New Roman" w:hAnsi="Times New Roman" w:cs="Times New Roman"/>
          <w:sz w:val="36"/>
          <w:szCs w:val="24"/>
        </w:rPr>
      </w:pPr>
      <w:r>
        <w:rPr>
          <w:rFonts w:cs="Times New Roman" w:ascii="Times New Roman" w:hAnsi="Times New Roman"/>
          <w:sz w:val="24"/>
        </w:rPr>
        <w:t xml:space="preserve">ZENG, Qiao-Shi et al. </w:t>
      </w:r>
      <w:r>
        <w:rPr>
          <w:rFonts w:cs="Times New Roman" w:ascii="Times New Roman" w:hAnsi="Times New Roman"/>
          <w:b/>
          <w:bCs/>
          <w:sz w:val="24"/>
        </w:rPr>
        <w:t>Substitutional alloy of Ce and Al</w:t>
      </w:r>
      <w:r>
        <w:rPr>
          <w:rFonts w:cs="Times New Roman" w:ascii="Times New Roman" w:hAnsi="Times New Roman"/>
          <w:sz w:val="24"/>
        </w:rPr>
        <w:t>. Proceedings of the National Academy of Sciences, v. 106, n. 8, 2009. DOI: https://doi.org/10.1073/pnas.0813328106. Disponível em: https://www.pnas.org/doi/10.1073/pnas.0813328106. Acesso em: 11 ago. 2023.</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pPr>
      <w:r>
        <w:rPr/>
      </w:r>
    </w:p>
    <w:sectPr>
      <w:headerReference w:type="default" r:id="rId60"/>
      <w:type w:val="nextPage"/>
      <w:pgSz w:w="11906" w:h="16838"/>
      <w:pgMar w:left="1701" w:right="1558" w:header="720" w:top="1701" w:footer="0" w:bottom="1134" w:gutter="0"/>
      <w:pgNumType w:start="15" w:fmt="decimal"/>
      <w:formProt w:val="false"/>
      <w:textDirection w:val="lrTb"/>
      <w:docGrid w:type="default" w:linePitch="299" w:charSpace="4294966885"/>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swiss"/>
    <w:pitch w:val="variable"/>
  </w:font>
  <w:font w:name="Calibri Light">
    <w:charset w:val="01"/>
    <w:family w:val="roman"/>
    <w:pitch w:val="variable"/>
  </w:font>
  <w:font w:name="Times New Roman">
    <w:charset w:val="01"/>
    <w:family w:val="roman"/>
    <w:pitch w:val="variable"/>
  </w:font>
  <w:font w:name="Tahoma">
    <w:charset w:val="01"/>
    <w:family w:val="roman"/>
    <w:pitch w:val="variable"/>
  </w:font>
  <w:font w:name="Arial">
    <w:charset w:val="01"/>
    <w:family w:val="roman"/>
    <w:pitch w:val="variable"/>
  </w:font>
  <w:font w:name="Segoe UI">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Symbol">
    <w:charset w:val="01"/>
    <w:family w:val="roman"/>
    <w:pitch w:val="variable"/>
  </w:font>
  <w:font w:name="Times-Roman">
    <w:altName w:val="Times New Roman"/>
    <w:charset w:val="01"/>
    <w:family w:val="roman"/>
    <w:pitch w:val="variable"/>
  </w:font>
  <w:font w:name="Times-Italic">
    <w:charset w:val="01"/>
    <w:family w:val="roman"/>
    <w:pitch w:val="variable"/>
  </w:font>
  <w:font w:name="TimesNewRomanPSMT">
    <w:charset w:val="01"/>
    <w:family w:val="roman"/>
    <w:pitch w:val="variable"/>
  </w:font>
  <w:font w:name="Cambria Math">
    <w:charset w:val="01"/>
    <w:family w:val="roman"/>
    <w:pitch w:val="variable"/>
  </w:font>
  <w:font w:name="Times-Bold">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767584149"/>
    </w:sdtPr>
    <w:sdtContent>
      <w:p>
        <w:pPr>
          <w:pStyle w:val="Cabealho"/>
          <w:jc w:val="right"/>
          <w:rPr/>
        </w:pPr>
        <w:r>
          <w:rPr>
            <w:color w:val="FFFFFF" w:themeColor="background1"/>
          </w:rPr>
          <w:fldChar w:fldCharType="begin"/>
        </w:r>
        <w:r>
          <w:rPr/>
          <w:instrText> PAGE </w:instrText>
        </w:r>
        <w:r>
          <w:rPr/>
          <w:fldChar w:fldCharType="separate"/>
        </w:r>
        <w:r>
          <w:rPr/>
          <w:t>16</w:t>
        </w:r>
        <w:r>
          <w:rPr/>
          <w:fldChar w:fldCharType="end"/>
        </w:r>
      </w:p>
      <w:p>
        <w:pPr>
          <w:pStyle w:val="Cabealho"/>
          <w:spacing w:before="0" w:after="160"/>
          <w:jc w:val="right"/>
          <w:rPr>
            <w:rFonts w:ascii="Times New Roman" w:hAnsi="Times New Roman"/>
          </w:rPr>
        </w:pPr>
        <w:r>
          <w:rPr>
            <w:rFonts w:ascii="Times New Roman" w:hAnsi="Times New Roman"/>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etexto"/>
      <w:spacing w:lineRule="auto" w:line="12" w:before="0" w:after="140"/>
      <w:rPr>
        <w:sz w:val="20"/>
      </w:rPr>
    </w:pPr>
    <w:r>
      <w:rPr>
        <w:sz w:val="20"/>
      </w:rPr>
      <mc:AlternateContent>
        <mc:Choice Requires="wps">
          <w:drawing>
            <wp:anchor behindDoc="1" distT="0" distB="0" distL="114300" distR="114300" simplePos="0" locked="0" layoutInCell="1" allowOverlap="1" relativeHeight="118" wp14:anchorId="52629871">
              <wp:simplePos x="0" y="0"/>
              <wp:positionH relativeFrom="page">
                <wp:posOffset>6652260</wp:posOffset>
              </wp:positionH>
              <wp:positionV relativeFrom="page">
                <wp:posOffset>713105</wp:posOffset>
              </wp:positionV>
              <wp:extent cx="229235" cy="194945"/>
              <wp:effectExtent l="3810" t="0" r="0" b="0"/>
              <wp:wrapNone/>
              <wp:docPr id="56" name="Caixa de Texto 42"/>
              <a:graphic xmlns:a="http://schemas.openxmlformats.org/drawingml/2006/main">
                <a:graphicData uri="http://schemas.microsoft.com/office/word/2010/wordprocessingShape">
                  <wps:wsp>
                    <wps:cNvSpPr/>
                    <wps:spPr>
                      <a:xfrm>
                        <a:off x="0" y="0"/>
                        <a:ext cx="228600" cy="194400"/>
                      </a:xfrm>
                      <a:prstGeom prst="rect">
                        <a:avLst/>
                      </a:prstGeom>
                      <a:noFill/>
                      <a:ln>
                        <a:noFill/>
                      </a:ln>
                    </wps:spPr>
                    <wps:style>
                      <a:lnRef idx="0"/>
                      <a:fillRef idx="0"/>
                      <a:effectRef idx="0"/>
                      <a:fontRef idx="minor"/>
                    </wps:style>
                    <wps:txbx>
                      <w:txbxContent>
                        <w:p>
                          <w:pPr>
                            <w:pStyle w:val="Corpodetexto"/>
                            <w:spacing w:before="9" w:after="160"/>
                            <w:ind w:left="60" w:hanging="0"/>
                            <w:rPr>
                              <w:color w:val="auto"/>
                            </w:rPr>
                          </w:pPr>
                          <w:r>
                            <w:rPr>
                              <w:color w:val="auto"/>
                            </w:rPr>
                            <w:fldChar w:fldCharType="begin"/>
                          </w:r>
                          <w:r>
                            <w:rPr/>
                            <w:instrText> PAGE </w:instrText>
                          </w:r>
                          <w:r>
                            <w:rPr/>
                            <w:fldChar w:fldCharType="separate"/>
                          </w:r>
                          <w:r>
                            <w:rPr/>
                            <w:t>84</w:t>
                          </w:r>
                          <w:r>
                            <w:rPr/>
                            <w:fldChar w:fldCharType="end"/>
                          </w:r>
                        </w:p>
                      </w:txbxContent>
                    </wps:txbx>
                    <wps:bodyPr lIns="0" rIns="0" tIns="0" bIns="0">
                      <a:noAutofit/>
                    </wps:bodyPr>
                  </wps:wsp>
                </a:graphicData>
              </a:graphic>
            </wp:anchor>
          </w:drawing>
        </mc:Choice>
        <mc:Fallback>
          <w:pict>
            <v:rect id="shape_0" ID="Caixa de Texto 42" stroked="f" style="position:absolute;margin-left:523.8pt;margin-top:56.15pt;width:17.95pt;height:15.25pt;mso-position-horizontal-relative:page;mso-position-vertical-relative:page" wp14:anchorId="52629871">
              <w10:wrap type="square"/>
              <v:fill o:detectmouseclick="t" on="false"/>
              <v:stroke color="#3465a4" joinstyle="round" endcap="flat"/>
              <v:textbox>
                <w:txbxContent>
                  <w:p>
                    <w:pPr>
                      <w:pStyle w:val="Corpodetexto"/>
                      <w:spacing w:before="9" w:after="160"/>
                      <w:ind w:left="60" w:hanging="0"/>
                      <w:rPr>
                        <w:color w:val="auto"/>
                      </w:rPr>
                    </w:pPr>
                    <w:r>
                      <w:rPr>
                        <w:color w:val="auto"/>
                      </w:rPr>
                      <w:fldChar w:fldCharType="begin"/>
                    </w:r>
                    <w:r>
                      <w:rPr/>
                      <w:instrText> PAGE </w:instrText>
                    </w:r>
                    <w:r>
                      <w:rPr/>
                      <w:fldChar w:fldCharType="separate"/>
                    </w:r>
                    <w:r>
                      <w:rPr/>
                      <w:t>84</w:t>
                    </w:r>
                    <w:r>
                      <w:rPr/>
                      <w:fldChar w:fldCharType="end"/>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39.15pt;height:51.9pt" o:bullet="t">
        <v:imagedata r:id="rId1" o:title=""/>
      </v:shape>
    </w:pict>
  </w:numPicBullet>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1851" w:hanging="360"/>
      </w:pPr>
      <w:rPr>
        <w:rFonts w:ascii="Symbol" w:hAnsi="Symbol" w:cs="Symbol" w:hint="default"/>
      </w:rPr>
    </w:lvl>
    <w:lvl w:ilvl="1">
      <w:start w:val="1"/>
      <w:numFmt w:val="bullet"/>
      <w:lvlText w:val="o"/>
      <w:lvlJc w:val="left"/>
      <w:pPr>
        <w:ind w:left="2571" w:hanging="360"/>
      </w:pPr>
      <w:rPr>
        <w:rFonts w:ascii="Courier New" w:hAnsi="Courier New" w:cs="Courier New" w:hint="default"/>
        <w:rFonts w:cs="Courier New"/>
      </w:rPr>
    </w:lvl>
    <w:lvl w:ilvl="2">
      <w:start w:val="1"/>
      <w:numFmt w:val="bullet"/>
      <w:lvlText w:val=""/>
      <w:lvlJc w:val="left"/>
      <w:pPr>
        <w:ind w:left="3291" w:hanging="360"/>
      </w:pPr>
      <w:rPr>
        <w:rFonts w:ascii="Wingdings" w:hAnsi="Wingdings" w:cs="Wingdings" w:hint="default"/>
      </w:rPr>
    </w:lvl>
    <w:lvl w:ilvl="3">
      <w:start w:val="1"/>
      <w:numFmt w:val="bullet"/>
      <w:lvlText w:val=""/>
      <w:lvlJc w:val="left"/>
      <w:pPr>
        <w:ind w:left="4011" w:hanging="360"/>
      </w:pPr>
      <w:rPr>
        <w:rFonts w:ascii="Symbol" w:hAnsi="Symbol" w:cs="Symbol" w:hint="default"/>
      </w:rPr>
    </w:lvl>
    <w:lvl w:ilvl="4">
      <w:start w:val="1"/>
      <w:numFmt w:val="bullet"/>
      <w:lvlText w:val="o"/>
      <w:lvlJc w:val="left"/>
      <w:pPr>
        <w:ind w:left="4731" w:hanging="360"/>
      </w:pPr>
      <w:rPr>
        <w:rFonts w:ascii="Courier New" w:hAnsi="Courier New" w:cs="Courier New" w:hint="default"/>
        <w:rFonts w:cs="Courier New"/>
      </w:rPr>
    </w:lvl>
    <w:lvl w:ilvl="5">
      <w:start w:val="1"/>
      <w:numFmt w:val="bullet"/>
      <w:lvlText w:val=""/>
      <w:lvlJc w:val="left"/>
      <w:pPr>
        <w:ind w:left="5451" w:hanging="360"/>
      </w:pPr>
      <w:rPr>
        <w:rFonts w:ascii="Wingdings" w:hAnsi="Wingdings" w:cs="Wingdings" w:hint="default"/>
      </w:rPr>
    </w:lvl>
    <w:lvl w:ilvl="6">
      <w:start w:val="1"/>
      <w:numFmt w:val="bullet"/>
      <w:lvlText w:val=""/>
      <w:lvlJc w:val="left"/>
      <w:pPr>
        <w:ind w:left="6171" w:hanging="360"/>
      </w:pPr>
      <w:rPr>
        <w:rFonts w:ascii="Symbol" w:hAnsi="Symbol" w:cs="Symbol" w:hint="default"/>
      </w:rPr>
    </w:lvl>
    <w:lvl w:ilvl="7">
      <w:start w:val="1"/>
      <w:numFmt w:val="bullet"/>
      <w:lvlText w:val="o"/>
      <w:lvlJc w:val="left"/>
      <w:pPr>
        <w:ind w:left="6891" w:hanging="360"/>
      </w:pPr>
      <w:rPr>
        <w:rFonts w:ascii="Courier New" w:hAnsi="Courier New" w:cs="Courier New" w:hint="default"/>
        <w:rFonts w:cs="Courier New"/>
      </w:rPr>
    </w:lvl>
    <w:lvl w:ilvl="8">
      <w:start w:val="1"/>
      <w:numFmt w:val="bullet"/>
      <w:lvlText w:val=""/>
      <w:lvlJc w:val="left"/>
      <w:pPr>
        <w:ind w:left="7611" w:hanging="360"/>
      </w:pPr>
      <w:rPr>
        <w:rFonts w:ascii="Wingdings" w:hAnsi="Wingdings" w:cs="Wingdings" w:hint="default"/>
      </w:rPr>
    </w:lvl>
  </w:abstractNum>
  <w:abstractNum w:abstractNumId="3">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Fonts w:cs="Courier New"/>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Fonts w:cs="Courier New"/>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Fonts w:cs="Courier New"/>
      </w:rPr>
    </w:lvl>
    <w:lvl w:ilvl="8">
      <w:start w:val="1"/>
      <w:numFmt w:val="bullet"/>
      <w:lvlText w:val=""/>
      <w:lvlJc w:val="left"/>
      <w:pPr>
        <w:ind w:left="7614" w:hanging="360"/>
      </w:pPr>
      <w:rPr>
        <w:rFonts w:ascii="Wingdings" w:hAnsi="Wingdings" w:cs="Wingdings" w:hint="default"/>
      </w:rPr>
    </w:lvl>
  </w:abstractNum>
  <w:abstractNum w:abstractNumId="4">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1918" w:hanging="360"/>
      </w:pPr>
      <w:rPr>
        <w:rFonts w:ascii="Symbol" w:hAnsi="Symbol" w:cs="Symbol" w:hint="default"/>
      </w:rPr>
    </w:lvl>
    <w:lvl w:ilvl="1">
      <w:start w:val="1"/>
      <w:numFmt w:val="bullet"/>
      <w:lvlText w:val="o"/>
      <w:lvlJc w:val="left"/>
      <w:pPr>
        <w:ind w:left="2638" w:hanging="360"/>
      </w:pPr>
      <w:rPr>
        <w:rFonts w:ascii="Courier New" w:hAnsi="Courier New" w:cs="Courier New" w:hint="default"/>
        <w:rFonts w:cs="Courier New"/>
      </w:rPr>
    </w:lvl>
    <w:lvl w:ilvl="2">
      <w:start w:val="1"/>
      <w:numFmt w:val="bullet"/>
      <w:lvlText w:val=""/>
      <w:lvlJc w:val="left"/>
      <w:pPr>
        <w:ind w:left="3358" w:hanging="360"/>
      </w:pPr>
      <w:rPr>
        <w:rFonts w:ascii="Wingdings" w:hAnsi="Wingdings" w:cs="Wingdings" w:hint="default"/>
      </w:rPr>
    </w:lvl>
    <w:lvl w:ilvl="3">
      <w:start w:val="1"/>
      <w:numFmt w:val="bullet"/>
      <w:lvlText w:val=""/>
      <w:lvlJc w:val="left"/>
      <w:pPr>
        <w:ind w:left="4078" w:hanging="360"/>
      </w:pPr>
      <w:rPr>
        <w:rFonts w:ascii="Symbol" w:hAnsi="Symbol" w:cs="Symbol" w:hint="default"/>
      </w:rPr>
    </w:lvl>
    <w:lvl w:ilvl="4">
      <w:start w:val="1"/>
      <w:numFmt w:val="bullet"/>
      <w:lvlText w:val="o"/>
      <w:lvlJc w:val="left"/>
      <w:pPr>
        <w:ind w:left="4798" w:hanging="360"/>
      </w:pPr>
      <w:rPr>
        <w:rFonts w:ascii="Courier New" w:hAnsi="Courier New" w:cs="Courier New" w:hint="default"/>
        <w:rFonts w:cs="Courier New"/>
      </w:rPr>
    </w:lvl>
    <w:lvl w:ilvl="5">
      <w:start w:val="1"/>
      <w:numFmt w:val="bullet"/>
      <w:lvlText w:val=""/>
      <w:lvlJc w:val="left"/>
      <w:pPr>
        <w:ind w:left="5518" w:hanging="360"/>
      </w:pPr>
      <w:rPr>
        <w:rFonts w:ascii="Wingdings" w:hAnsi="Wingdings" w:cs="Wingdings" w:hint="default"/>
      </w:rPr>
    </w:lvl>
    <w:lvl w:ilvl="6">
      <w:start w:val="1"/>
      <w:numFmt w:val="bullet"/>
      <w:lvlText w:val=""/>
      <w:lvlJc w:val="left"/>
      <w:pPr>
        <w:ind w:left="6238" w:hanging="360"/>
      </w:pPr>
      <w:rPr>
        <w:rFonts w:ascii="Symbol" w:hAnsi="Symbol" w:cs="Symbol" w:hint="default"/>
      </w:rPr>
    </w:lvl>
    <w:lvl w:ilvl="7">
      <w:start w:val="1"/>
      <w:numFmt w:val="bullet"/>
      <w:lvlText w:val="o"/>
      <w:lvlJc w:val="left"/>
      <w:pPr>
        <w:ind w:left="6958" w:hanging="360"/>
      </w:pPr>
      <w:rPr>
        <w:rFonts w:ascii="Courier New" w:hAnsi="Courier New" w:cs="Courier New" w:hint="default"/>
        <w:rFonts w:cs="Courier New"/>
      </w:rPr>
    </w:lvl>
    <w:lvl w:ilvl="8">
      <w:start w:val="1"/>
      <w:numFmt w:val="bullet"/>
      <w:lvlText w:val=""/>
      <w:lvlJc w:val="left"/>
      <w:pPr>
        <w:ind w:left="7678" w:hanging="360"/>
      </w:pPr>
      <w:rPr>
        <w:rFonts w:ascii="Wingdings" w:hAnsi="Wingdings" w:cs="Wingdings" w:hint="default"/>
      </w:rPr>
    </w:lvl>
  </w:abstractNum>
  <w:abstractNum w:abstractNumId="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Fonts w:cs="Courier New"/>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Fonts w:cs="Courier New"/>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Fonts w:cs="Courier New"/>
      </w:rPr>
    </w:lvl>
    <w:lvl w:ilvl="8">
      <w:start w:val="1"/>
      <w:numFmt w:val="bullet"/>
      <w:lvlText w:val=""/>
      <w:lvlJc w:val="left"/>
      <w:pPr>
        <w:ind w:left="7614" w:hanging="360"/>
      </w:pPr>
      <w:rPr>
        <w:rFonts w:ascii="Wingdings" w:hAnsi="Wingdings" w:cs="Wingdings" w:hint="default"/>
      </w:rPr>
    </w:lvl>
  </w:abstractNum>
  <w:abstractNum w:abstractNumId="11">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Fonts w:cs="Courier New"/>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Fonts w:cs="Courier New"/>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Fonts w:cs="Courier New"/>
      </w:rPr>
    </w:lvl>
    <w:lvl w:ilvl="8">
      <w:start w:val="1"/>
      <w:numFmt w:val="bullet"/>
      <w:lvlText w:val=""/>
      <w:lvlJc w:val="left"/>
      <w:pPr>
        <w:ind w:left="7614" w:hanging="360"/>
      </w:pPr>
      <w:rPr>
        <w:rFonts w:ascii="Wingdings" w:hAnsi="Wingdings" w:cs="Wingdings" w:hint="default"/>
      </w:rPr>
    </w:lvl>
  </w:abstractNum>
  <w:abstractNum w:abstractNumId="13">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pt-B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3834"/>
    <w:pPr>
      <w:widowControl/>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pt-BR" w:eastAsia="en-US" w:bidi="ar-SA"/>
    </w:rPr>
  </w:style>
  <w:style w:type="paragraph" w:styleId="Ttulo1">
    <w:name w:val="Heading 1"/>
    <w:basedOn w:val="Ttulododocumento"/>
    <w:link w:val="Ttulo1Char"/>
    <w:qFormat/>
    <w:rsid w:val="00633834"/>
    <w:pPr>
      <w:outlineLvl w:val="0"/>
    </w:pPr>
    <w:rPr>
      <w:rFonts w:ascii="Times New Roman" w:hAnsi="Times New Roman" w:eastAsia="SimSun"/>
      <w:b/>
      <w:bCs/>
      <w:sz w:val="48"/>
      <w:szCs w:val="48"/>
    </w:rPr>
  </w:style>
  <w:style w:type="paragraph" w:styleId="Ttulo2">
    <w:name w:val="Heading 2"/>
    <w:basedOn w:val="Normal"/>
    <w:next w:val="Normal"/>
    <w:link w:val="Ttulo2Char"/>
    <w:uiPriority w:val="9"/>
    <w:semiHidden/>
    <w:unhideWhenUsed/>
    <w:qFormat/>
    <w:rsid w:val="00c35fbf"/>
    <w:pPr>
      <w:keepNext w:val="true"/>
      <w:keepLines/>
      <w:spacing w:before="40" w:after="0"/>
      <w:outlineLvl w:val="1"/>
    </w:pPr>
    <w:rPr>
      <w:rFonts w:ascii="Calibri Light" w:hAnsi="Calibri Light" w:eastAsia="" w:cs="Times New Roman" w:asciiTheme="majorHAnsi" w:cstheme="majorBidi" w:eastAsiaTheme="majorEastAsia" w:hAnsiTheme="majorHAnsi"/>
      <w:color w:val="2F5496" w:themeColor="accent1" w:themeShade="bf"/>
      <w:sz w:val="26"/>
      <w:szCs w:val="26"/>
    </w:rPr>
  </w:style>
  <w:style w:type="paragraph" w:styleId="Ttulo3">
    <w:name w:val="Heading 3"/>
    <w:basedOn w:val="Normal"/>
    <w:next w:val="Normal"/>
    <w:link w:val="Ttulo3Char"/>
    <w:uiPriority w:val="9"/>
    <w:semiHidden/>
    <w:unhideWhenUsed/>
    <w:qFormat/>
    <w:rsid w:val="001336a8"/>
    <w:pPr>
      <w:keepNext w:val="true"/>
      <w:keepLines/>
      <w:spacing w:before="40" w:after="0"/>
      <w:outlineLvl w:val="2"/>
    </w:pPr>
    <w:rPr>
      <w:rFonts w:ascii="Calibri Light" w:hAnsi="Calibri Light" w:eastAsia="" w:cs="Times New Roman" w:asciiTheme="majorHAnsi" w:cstheme="majorBidi" w:eastAsiaTheme="majorEastAsia" w:hAnsiTheme="majorHAnsi"/>
      <w:color w:val="1F3763" w:themeColor="accent1" w:themeShade="7f"/>
      <w:sz w:val="24"/>
      <w:szCs w:val="24"/>
    </w:rPr>
  </w:style>
  <w:style w:type="paragraph" w:styleId="Ttulo4">
    <w:name w:val="Heading 4"/>
    <w:basedOn w:val="Normal"/>
    <w:next w:val="Normal"/>
    <w:link w:val="Ttulo4Char"/>
    <w:uiPriority w:val="9"/>
    <w:semiHidden/>
    <w:unhideWhenUsed/>
    <w:qFormat/>
    <w:rsid w:val="00c35fbf"/>
    <w:pPr>
      <w:keepNext w:val="true"/>
      <w:keepLines/>
      <w:spacing w:before="40" w:after="0"/>
      <w:outlineLvl w:val="3"/>
    </w:pPr>
    <w:rPr>
      <w:rFonts w:ascii="Calibri Light" w:hAnsi="Calibri Light" w:eastAsia="" w:cs="Times New Roman" w:asciiTheme="majorHAnsi" w:cstheme="majorBidi" w:eastAsiaTheme="majorEastAsia" w:hAnsiTheme="majorHAnsi"/>
      <w:i/>
      <w:iCs/>
      <w:color w:val="2F5496" w:themeColor="accent1" w:themeShade="bf"/>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link w:val="Ttulo1"/>
    <w:qFormat/>
    <w:rsid w:val="00633834"/>
    <w:rPr>
      <w:rFonts w:ascii="Times New Roman" w:hAnsi="Times New Roman" w:eastAsia="SimSun"/>
      <w:b/>
      <w:bCs/>
      <w:sz w:val="48"/>
      <w:szCs w:val="48"/>
    </w:rPr>
  </w:style>
  <w:style w:type="character" w:styleId="Fontepargpadro1" w:customStyle="1">
    <w:name w:val="Fonte parág. padrão1"/>
    <w:qFormat/>
    <w:rsid w:val="00633834"/>
    <w:rPr/>
  </w:style>
  <w:style w:type="character" w:styleId="LinkdaInternet">
    <w:name w:val="Link da Internet"/>
    <w:rsid w:val="00633834"/>
    <w:rPr>
      <w:color w:val="0000FF"/>
      <w:u w:val="single"/>
    </w:rPr>
  </w:style>
  <w:style w:type="character" w:styleId="Strong">
    <w:name w:val="Strong"/>
    <w:uiPriority w:val="22"/>
    <w:qFormat/>
    <w:rsid w:val="00633834"/>
    <w:rPr>
      <w:b/>
      <w:bCs/>
    </w:rPr>
  </w:style>
  <w:style w:type="character" w:styleId="Highlight" w:customStyle="1">
    <w:name w:val="highlight"/>
    <w:basedOn w:val="Fontepargpadro1"/>
    <w:qFormat/>
    <w:rsid w:val="00633834"/>
    <w:rPr/>
  </w:style>
  <w:style w:type="character" w:styleId="TextodebaloChar" w:customStyle="1">
    <w:name w:val="Texto de balão Char"/>
    <w:qFormat/>
    <w:rsid w:val="00633834"/>
    <w:rPr>
      <w:rFonts w:ascii="Tahoma" w:hAnsi="Tahoma"/>
      <w:sz w:val="16"/>
      <w:szCs w:val="14"/>
    </w:rPr>
  </w:style>
  <w:style w:type="character" w:styleId="RodapChar" w:customStyle="1">
    <w:name w:val="Rodapé Char"/>
    <w:uiPriority w:val="99"/>
    <w:qFormat/>
    <w:rsid w:val="00633834"/>
    <w:rPr>
      <w:kern w:val="2"/>
      <w:sz w:val="24"/>
      <w:szCs w:val="21"/>
      <w:lang w:eastAsia="zh-CN" w:bidi="hi-IN"/>
    </w:rPr>
  </w:style>
  <w:style w:type="character" w:styleId="ListLabel1" w:customStyle="1">
    <w:name w:val="ListLabel 1"/>
    <w:qFormat/>
    <w:rsid w:val="00633834"/>
    <w:rPr>
      <w:rFonts w:cs="Courier New"/>
    </w:rPr>
  </w:style>
  <w:style w:type="character" w:styleId="CorpodetextoChar" w:customStyle="1">
    <w:name w:val="Corpo de texto Char"/>
    <w:basedOn w:val="DefaultParagraphFont"/>
    <w:link w:val="Corpodetexto"/>
    <w:qFormat/>
    <w:rsid w:val="00633834"/>
    <w:rPr/>
  </w:style>
  <w:style w:type="character" w:styleId="TtuloChar" w:customStyle="1">
    <w:name w:val="Título Char"/>
    <w:basedOn w:val="DefaultParagraphFont"/>
    <w:link w:val="Ttulo"/>
    <w:qFormat/>
    <w:rsid w:val="00633834"/>
    <w:rPr>
      <w:rFonts w:ascii="Arial" w:hAnsi="Arial" w:eastAsia="Microsoft YaHei"/>
      <w:sz w:val="28"/>
      <w:szCs w:val="28"/>
    </w:rPr>
  </w:style>
  <w:style w:type="character" w:styleId="CabealhoChar" w:customStyle="1">
    <w:name w:val="Cabeçalho Char"/>
    <w:basedOn w:val="DefaultParagraphFont"/>
    <w:link w:val="Cabealho"/>
    <w:uiPriority w:val="99"/>
    <w:qFormat/>
    <w:rsid w:val="00633834"/>
    <w:rPr/>
  </w:style>
  <w:style w:type="character" w:styleId="RodapChar1" w:customStyle="1">
    <w:name w:val="Rodapé Char1"/>
    <w:basedOn w:val="DefaultParagraphFont"/>
    <w:link w:val="Rodap"/>
    <w:qFormat/>
    <w:rsid w:val="00633834"/>
    <w:rPr>
      <w:szCs w:val="21"/>
    </w:rPr>
  </w:style>
  <w:style w:type="character" w:styleId="Appleconvertedspace" w:customStyle="1">
    <w:name w:val="apple-converted-space"/>
    <w:qFormat/>
    <w:rsid w:val="00633834"/>
    <w:rPr/>
  </w:style>
  <w:style w:type="character" w:styleId="Nfase">
    <w:name w:val="Ênfase"/>
    <w:uiPriority w:val="20"/>
    <w:qFormat/>
    <w:rsid w:val="00633834"/>
    <w:rPr>
      <w:i/>
      <w:iCs/>
    </w:rPr>
  </w:style>
  <w:style w:type="character" w:styleId="Tlidtranslation" w:customStyle="1">
    <w:name w:val="tlid-translation"/>
    <w:basedOn w:val="DefaultParagraphFont"/>
    <w:qFormat/>
    <w:rsid w:val="00633834"/>
    <w:rPr/>
  </w:style>
  <w:style w:type="character" w:styleId="PlaceholderText">
    <w:name w:val="Placeholder Text"/>
    <w:basedOn w:val="DefaultParagraphFont"/>
    <w:uiPriority w:val="99"/>
    <w:semiHidden/>
    <w:qFormat/>
    <w:rsid w:val="00633834"/>
    <w:rPr>
      <w:color w:val="808080"/>
    </w:rPr>
  </w:style>
  <w:style w:type="character" w:styleId="TextodebaloChar1" w:customStyle="1">
    <w:name w:val="Texto de balão Char1"/>
    <w:basedOn w:val="DefaultParagraphFont"/>
    <w:link w:val="Textodebalo"/>
    <w:qFormat/>
    <w:rsid w:val="00633834"/>
    <w:rPr>
      <w:rFonts w:ascii="Segoe UI" w:hAnsi="Segoe UI"/>
      <w:sz w:val="18"/>
      <w:szCs w:val="16"/>
    </w:rPr>
  </w:style>
  <w:style w:type="character" w:styleId="Annotationreference">
    <w:name w:val="annotation reference"/>
    <w:basedOn w:val="DefaultParagraphFont"/>
    <w:qFormat/>
    <w:rsid w:val="00633834"/>
    <w:rPr>
      <w:sz w:val="16"/>
      <w:szCs w:val="16"/>
    </w:rPr>
  </w:style>
  <w:style w:type="character" w:styleId="TextodecomentrioChar" w:customStyle="1">
    <w:name w:val="Texto de comentário Char"/>
    <w:basedOn w:val="DefaultParagraphFont"/>
    <w:link w:val="Textodecomentrio"/>
    <w:qFormat/>
    <w:rsid w:val="00633834"/>
    <w:rPr>
      <w:sz w:val="20"/>
      <w:szCs w:val="20"/>
    </w:rPr>
  </w:style>
  <w:style w:type="character" w:styleId="AssuntodocomentrioChar" w:customStyle="1">
    <w:name w:val="Assunto do comentário Char"/>
    <w:basedOn w:val="TextodecomentrioChar"/>
    <w:link w:val="Assuntodocomentrio"/>
    <w:qFormat/>
    <w:rsid w:val="00633834"/>
    <w:rPr>
      <w:b/>
      <w:bCs/>
      <w:sz w:val="20"/>
      <w:szCs w:val="20"/>
    </w:rPr>
  </w:style>
  <w:style w:type="character" w:styleId="Ttulo3Char" w:customStyle="1">
    <w:name w:val="Título 3 Char"/>
    <w:basedOn w:val="DefaultParagraphFont"/>
    <w:link w:val="Ttulo3"/>
    <w:uiPriority w:val="9"/>
    <w:semiHidden/>
    <w:qFormat/>
    <w:rsid w:val="001336a8"/>
    <w:rPr>
      <w:rFonts w:ascii="Calibri Light" w:hAnsi="Calibri Light" w:eastAsia="" w:cs="Times New Roman" w:asciiTheme="majorHAnsi" w:cstheme="majorBidi" w:eastAsiaTheme="majorEastAsia" w:hAnsiTheme="majorHAnsi"/>
      <w:color w:val="1F3763" w:themeColor="accent1" w:themeShade="7f"/>
      <w:sz w:val="24"/>
      <w:szCs w:val="24"/>
    </w:rPr>
  </w:style>
  <w:style w:type="character" w:styleId="Ttulo4Char" w:customStyle="1">
    <w:name w:val="Título 4 Char"/>
    <w:basedOn w:val="DefaultParagraphFont"/>
    <w:link w:val="Ttulo4"/>
    <w:uiPriority w:val="9"/>
    <w:semiHidden/>
    <w:qFormat/>
    <w:rsid w:val="00c35fbf"/>
    <w:rPr>
      <w:rFonts w:ascii="Calibri Light" w:hAnsi="Calibri Light" w:eastAsia="" w:cs="Times New Roman" w:asciiTheme="majorHAnsi" w:cstheme="majorBidi" w:eastAsiaTheme="majorEastAsia" w:hAnsiTheme="majorHAnsi"/>
      <w:i/>
      <w:iCs/>
      <w:color w:val="2F5496" w:themeColor="accent1" w:themeShade="bf"/>
    </w:rPr>
  </w:style>
  <w:style w:type="character" w:styleId="Ttulo2Char" w:customStyle="1">
    <w:name w:val="Título 2 Char"/>
    <w:basedOn w:val="DefaultParagraphFont"/>
    <w:link w:val="Ttulo2"/>
    <w:uiPriority w:val="9"/>
    <w:semiHidden/>
    <w:qFormat/>
    <w:rsid w:val="00c35fbf"/>
    <w:rPr>
      <w:rFonts w:ascii="Calibri Light" w:hAnsi="Calibri Light" w:eastAsia="" w:cs="Times New Roman" w:asciiTheme="majorHAnsi" w:cstheme="majorBidi" w:eastAsiaTheme="majorEastAsia" w:hAnsiTheme="majorHAnsi"/>
      <w:color w:val="2F5496" w:themeColor="accent1" w:themeShade="bf"/>
      <w:sz w:val="26"/>
      <w:szCs w:val="26"/>
    </w:rPr>
  </w:style>
  <w:style w:type="character" w:styleId="UnresolvedMention">
    <w:name w:val="Unresolved Mention"/>
    <w:basedOn w:val="DefaultParagraphFont"/>
    <w:uiPriority w:val="99"/>
    <w:semiHidden/>
    <w:unhideWhenUsed/>
    <w:qFormat/>
    <w:rsid w:val="00c35fbf"/>
    <w:rPr>
      <w:color w:val="605E5C"/>
      <w:shd w:fill="E1DFDD" w:val="clear"/>
    </w:rPr>
  </w:style>
  <w:style w:type="character" w:styleId="FollowedHyperlink">
    <w:name w:val="FollowedHyperlink"/>
    <w:basedOn w:val="DefaultParagraphFont"/>
    <w:uiPriority w:val="99"/>
    <w:semiHidden/>
    <w:unhideWhenUsed/>
    <w:qFormat/>
    <w:rsid w:val="00ea03bd"/>
    <w:rPr>
      <w:color w:val="954F72" w:themeColor="followedHyperlink"/>
      <w:u w:val="single"/>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w w:val="100"/>
      <w:lang w:val="pt-PT" w:eastAsia="en-US" w:bidi="ar-SA"/>
    </w:rPr>
  </w:style>
  <w:style w:type="character" w:styleId="ListLabel27">
    <w:name w:val="ListLabel 27"/>
    <w:qFormat/>
    <w:rPr>
      <w:lang w:val="pt-PT" w:eastAsia="en-US" w:bidi="ar-SA"/>
    </w:rPr>
  </w:style>
  <w:style w:type="character" w:styleId="ListLabel28">
    <w:name w:val="ListLabel 28"/>
    <w:qFormat/>
    <w:rPr>
      <w:lang w:val="pt-PT" w:eastAsia="en-US" w:bidi="ar-SA"/>
    </w:rPr>
  </w:style>
  <w:style w:type="character" w:styleId="ListLabel29">
    <w:name w:val="ListLabel 29"/>
    <w:qFormat/>
    <w:rPr>
      <w:lang w:val="pt-PT" w:eastAsia="en-US" w:bidi="ar-SA"/>
    </w:rPr>
  </w:style>
  <w:style w:type="character" w:styleId="ListLabel30">
    <w:name w:val="ListLabel 30"/>
    <w:qFormat/>
    <w:rPr>
      <w:lang w:val="pt-PT" w:eastAsia="en-US" w:bidi="ar-SA"/>
    </w:rPr>
  </w:style>
  <w:style w:type="character" w:styleId="ListLabel31">
    <w:name w:val="ListLabel 31"/>
    <w:qFormat/>
    <w:rPr>
      <w:lang w:val="pt-PT" w:eastAsia="en-US" w:bidi="ar-SA"/>
    </w:rPr>
  </w:style>
  <w:style w:type="character" w:styleId="ListLabel32">
    <w:name w:val="ListLabel 32"/>
    <w:qFormat/>
    <w:rPr>
      <w:lang w:val="pt-PT" w:eastAsia="en-US" w:bidi="ar-SA"/>
    </w:rPr>
  </w:style>
  <w:style w:type="character" w:styleId="ListLabel33">
    <w:name w:val="ListLabel 33"/>
    <w:qFormat/>
    <w:rPr>
      <w:lang w:val="pt-PT" w:eastAsia="en-US" w:bidi="ar-SA"/>
    </w:rPr>
  </w:style>
  <w:style w:type="character" w:styleId="ListLabel34">
    <w:name w:val="ListLabel 34"/>
    <w:qFormat/>
    <w:rPr>
      <w:lang w:val="pt-PT" w:eastAsia="en-US" w:bidi="ar-SA"/>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ascii="Times New Roman" w:hAnsi="Times New Roman" w:cs="Times New Roman"/>
      <w:bCs/>
      <w:color w:val="auto"/>
      <w:sz w:val="24"/>
      <w:szCs w:val="24"/>
      <w:u w:val="none"/>
      <w:shd w:fill="FFFFFF" w:val="clear"/>
    </w:rPr>
  </w:style>
  <w:style w:type="character" w:styleId="ListLabel102">
    <w:name w:val="ListLabel 102"/>
    <w:qFormat/>
    <w:rPr>
      <w:rFonts w:ascii="Times New Roman" w:hAnsi="Times New Roman" w:cs="Times New Roman"/>
      <w:color w:val="auto"/>
      <w:sz w:val="20"/>
      <w:szCs w:val="24"/>
      <w:u w:val="none"/>
    </w:rPr>
  </w:style>
  <w:style w:type="character" w:styleId="ListLabel103">
    <w:name w:val="ListLabel 103"/>
    <w:qFormat/>
    <w:rPr/>
  </w:style>
  <w:style w:type="character" w:styleId="ListLabel104">
    <w:name w:val="ListLabel 104"/>
    <w:qFormat/>
    <w:rPr>
      <w:rFonts w:ascii="Times New Roman" w:hAnsi="Times New Roman" w:cs="Times New Roman"/>
      <w:color w:val="auto"/>
      <w:sz w:val="24"/>
      <w:szCs w:val="24"/>
      <w:u w:val="none"/>
      <w:shd w:fill="FFFFFF" w:val="clear"/>
    </w:rPr>
  </w:style>
  <w:style w:type="character" w:styleId="ListLabel105">
    <w:name w:val="ListLabel 105"/>
    <w:qFormat/>
    <w:rPr>
      <w:rFonts w:ascii="Times New Roman" w:hAnsi="Times New Roman" w:cs="Times New Roman"/>
      <w:color w:val="auto"/>
      <w:sz w:val="24"/>
      <w:szCs w:val="24"/>
      <w:u w:val="none"/>
    </w:rPr>
  </w:style>
  <w:style w:type="character" w:styleId="ListLabel106">
    <w:name w:val="ListLabel 106"/>
    <w:qFormat/>
    <w:rPr>
      <w:rFonts w:cs="Times New Roman"/>
      <w:b w:val="false"/>
      <w:color w:val="auto"/>
      <w:sz w:val="24"/>
      <w:szCs w:val="24"/>
      <w:u w:val="none"/>
    </w:rPr>
  </w:style>
  <w:style w:type="character" w:styleId="ListLabel107">
    <w:name w:val="ListLabel 107"/>
    <w:qFormat/>
    <w:rPr>
      <w:rFonts w:ascii="Times New Roman" w:hAnsi="Times New Roman" w:cs="Times New Roman"/>
      <w:sz w:val="24"/>
      <w:szCs w:val="24"/>
    </w:rPr>
  </w:style>
  <w:style w:type="paragraph" w:styleId="Ttulo">
    <w:name w:val="Título"/>
    <w:basedOn w:val="Normal"/>
    <w:next w:val="Corpodetexto"/>
    <w:qFormat/>
    <w:pPr>
      <w:keepNext w:val="true"/>
      <w:spacing w:before="240" w:after="120"/>
    </w:pPr>
    <w:rPr>
      <w:rFonts w:ascii="Liberation Sans" w:hAnsi="Liberation Sans" w:eastAsia="Noto Sans CJK SC" w:cs="Lohit Devanagari"/>
      <w:sz w:val="28"/>
      <w:szCs w:val="28"/>
    </w:rPr>
  </w:style>
  <w:style w:type="paragraph" w:styleId="Corpodetexto">
    <w:name w:val="Body Text"/>
    <w:basedOn w:val="Normal"/>
    <w:link w:val="CorpodetextoChar"/>
    <w:rsid w:val="00633834"/>
    <w:pPr>
      <w:spacing w:lineRule="auto" w:line="288" w:before="0" w:after="140"/>
    </w:pPr>
    <w:rPr/>
  </w:style>
  <w:style w:type="paragraph" w:styleId="Lista">
    <w:name w:val="List"/>
    <w:basedOn w:val="Corpodetexto"/>
    <w:rsid w:val="00633834"/>
    <w:pPr/>
    <w:rPr/>
  </w:style>
  <w:style w:type="paragraph" w:styleId="Leg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rsid w:val="00633834"/>
    <w:pPr>
      <w:suppressLineNumbers/>
    </w:pPr>
    <w:rPr/>
  </w:style>
  <w:style w:type="paragraph" w:styleId="Ttulododocumento">
    <w:name w:val="Title"/>
    <w:basedOn w:val="Normal"/>
    <w:link w:val="TtuloChar"/>
    <w:uiPriority w:val="10"/>
    <w:qFormat/>
    <w:rsid w:val="00633834"/>
    <w:pPr>
      <w:keepNext w:val="true"/>
      <w:spacing w:before="240" w:after="120"/>
    </w:pPr>
    <w:rPr>
      <w:rFonts w:ascii="Arial" w:hAnsi="Arial" w:eastAsia="Microsoft YaHei"/>
      <w:sz w:val="28"/>
      <w:szCs w:val="28"/>
    </w:rPr>
  </w:style>
  <w:style w:type="paragraph" w:styleId="Ttulo11" w:customStyle="1">
    <w:name w:val="Título1"/>
    <w:basedOn w:val="Normal"/>
    <w:qFormat/>
    <w:rsid w:val="00633834"/>
    <w:pPr>
      <w:keepNext w:val="true"/>
      <w:spacing w:before="240" w:after="120"/>
    </w:pPr>
    <w:rPr>
      <w:rFonts w:ascii="Liberation Sans" w:hAnsi="Liberation Sans" w:eastAsia="Microsoft YaHei"/>
      <w:sz w:val="28"/>
      <w:szCs w:val="28"/>
    </w:rPr>
  </w:style>
  <w:style w:type="paragraph" w:styleId="Caption">
    <w:name w:val="caption"/>
    <w:basedOn w:val="Normal"/>
    <w:qFormat/>
    <w:rsid w:val="00633834"/>
    <w:pPr>
      <w:suppressLineNumbers/>
      <w:spacing w:before="120" w:after="120"/>
    </w:pPr>
    <w:rPr>
      <w:i/>
      <w:iCs/>
    </w:rPr>
  </w:style>
  <w:style w:type="paragraph" w:styleId="Legenda1" w:customStyle="1">
    <w:name w:val="Legenda1"/>
    <w:basedOn w:val="Normal"/>
    <w:qFormat/>
    <w:rsid w:val="00633834"/>
    <w:pPr>
      <w:suppressLineNumbers/>
      <w:spacing w:before="120" w:after="120"/>
    </w:pPr>
    <w:rPr>
      <w:i/>
      <w:iCs/>
    </w:rPr>
  </w:style>
  <w:style w:type="paragraph" w:styleId="Contedodatabela" w:customStyle="1">
    <w:name w:val="Conteúdo da tabela"/>
    <w:basedOn w:val="Normal"/>
    <w:qFormat/>
    <w:rsid w:val="00633834"/>
    <w:pPr>
      <w:suppressLineNumbers/>
    </w:pPr>
    <w:rPr/>
  </w:style>
  <w:style w:type="paragraph" w:styleId="Cabealho">
    <w:name w:val="Header"/>
    <w:basedOn w:val="Normal"/>
    <w:link w:val="CabealhoChar"/>
    <w:uiPriority w:val="99"/>
    <w:rsid w:val="00633834"/>
    <w:pPr>
      <w:suppressLineNumbers/>
      <w:tabs>
        <w:tab w:val="center" w:pos="4535" w:leader="none"/>
        <w:tab w:val="right" w:pos="9071" w:leader="none"/>
      </w:tabs>
    </w:pPr>
    <w:rPr/>
  </w:style>
  <w:style w:type="paragraph" w:styleId="PargrafodaLista1" w:customStyle="1">
    <w:name w:val="Parágrafo da Lista1"/>
    <w:basedOn w:val="Normal"/>
    <w:qFormat/>
    <w:rsid w:val="00633834"/>
    <w:pPr>
      <w:ind w:left="720" w:hanging="0"/>
      <w:jc w:val="both"/>
    </w:pPr>
    <w:rPr>
      <w:rFonts w:ascii="Calibri" w:hAnsi="Calibri" w:eastAsia="Times New Roman" w:cs="Times New Roman"/>
    </w:rPr>
  </w:style>
  <w:style w:type="paragraph" w:styleId="Textodebalo1" w:customStyle="1">
    <w:name w:val="Texto de balão1"/>
    <w:basedOn w:val="Normal"/>
    <w:qFormat/>
    <w:rsid w:val="00633834"/>
    <w:pPr/>
    <w:rPr>
      <w:rFonts w:ascii="Tahoma" w:hAnsi="Tahoma"/>
      <w:sz w:val="16"/>
      <w:szCs w:val="14"/>
    </w:rPr>
  </w:style>
  <w:style w:type="paragraph" w:styleId="Rodap">
    <w:name w:val="Footer"/>
    <w:basedOn w:val="Normal"/>
    <w:link w:val="RodapChar1"/>
    <w:uiPriority w:val="99"/>
    <w:rsid w:val="00633834"/>
    <w:pPr>
      <w:tabs>
        <w:tab w:val="center" w:pos="4252" w:leader="none"/>
        <w:tab w:val="right" w:pos="8504" w:leader="none"/>
      </w:tabs>
    </w:pPr>
    <w:rPr>
      <w:szCs w:val="21"/>
    </w:rPr>
  </w:style>
  <w:style w:type="paragraph" w:styleId="NormalWeb">
    <w:name w:val="Normal (Web)"/>
    <w:basedOn w:val="Normal"/>
    <w:uiPriority w:val="99"/>
    <w:qFormat/>
    <w:rsid w:val="00633834"/>
    <w:pPr>
      <w:spacing w:before="280" w:after="280"/>
    </w:pPr>
    <w:rPr>
      <w:rFonts w:ascii="Times New Roman" w:hAnsi="Times New Roman" w:eastAsia="Times New Roman" w:cs="Times New Roman"/>
      <w:lang w:eastAsia="pt-BR"/>
    </w:rPr>
  </w:style>
  <w:style w:type="paragraph" w:styleId="ListParagraph">
    <w:name w:val="List Paragraph"/>
    <w:basedOn w:val="Normal"/>
    <w:uiPriority w:val="1"/>
    <w:qFormat/>
    <w:rsid w:val="00633834"/>
    <w:pPr>
      <w:spacing w:before="0" w:after="160"/>
      <w:ind w:left="720" w:hanging="0"/>
      <w:contextualSpacing/>
    </w:pPr>
    <w:rPr>
      <w:rFonts w:ascii="Calibri" w:hAnsi="Calibri" w:eastAsia="Calibri" w:cs="Times New Roman"/>
    </w:rPr>
  </w:style>
  <w:style w:type="paragraph" w:styleId="BalloonText">
    <w:name w:val="Balloon Text"/>
    <w:basedOn w:val="Normal"/>
    <w:link w:val="TextodebaloChar1"/>
    <w:qFormat/>
    <w:rsid w:val="00633834"/>
    <w:pPr/>
    <w:rPr>
      <w:rFonts w:ascii="Segoe UI" w:hAnsi="Segoe UI"/>
      <w:sz w:val="18"/>
      <w:szCs w:val="16"/>
    </w:rPr>
  </w:style>
  <w:style w:type="paragraph" w:styleId="1" w:customStyle="1">
    <w:name w:val="列出段落1"/>
    <w:basedOn w:val="Normal"/>
    <w:qFormat/>
    <w:rsid w:val="00633834"/>
    <w:pPr>
      <w:ind w:firstLine="420"/>
      <w:jc w:val="both"/>
    </w:pPr>
    <w:rPr>
      <w:rFonts w:ascii="Calibri" w:hAnsi="Calibri" w:eastAsia="" w:cs="Calibri" w:eastAsiaTheme="minorEastAsia"/>
      <w:kern w:val="2"/>
      <w:sz w:val="21"/>
      <w:szCs w:val="21"/>
      <w:lang w:val="en-GB"/>
    </w:rPr>
  </w:style>
  <w:style w:type="paragraph" w:styleId="Default" w:customStyle="1">
    <w:name w:val="Default"/>
    <w:qFormat/>
    <w:rsid w:val="00633834"/>
    <w:pPr>
      <w:widowControl/>
      <w:bidi w:val="0"/>
      <w:spacing w:lineRule="auto" w:line="240" w:before="0" w:after="0"/>
      <w:jc w:val="left"/>
    </w:pPr>
    <w:rPr>
      <w:rFonts w:ascii="Times New Roman" w:hAnsi="Times New Roman" w:eastAsia="SimSun" w:cs="Times New Roman"/>
      <w:color w:val="000000"/>
      <w:kern w:val="0"/>
      <w:sz w:val="24"/>
      <w:szCs w:val="24"/>
      <w:lang w:eastAsia="pt-BR" w:val="pt-BR" w:bidi="ar-SA"/>
    </w:rPr>
  </w:style>
  <w:style w:type="paragraph" w:styleId="Annotationtext">
    <w:name w:val="annotation text"/>
    <w:basedOn w:val="Normal"/>
    <w:link w:val="TextodecomentrioChar"/>
    <w:qFormat/>
    <w:rsid w:val="00633834"/>
    <w:pPr>
      <w:spacing w:lineRule="auto" w:line="240"/>
    </w:pPr>
    <w:rPr>
      <w:sz w:val="20"/>
      <w:szCs w:val="20"/>
    </w:rPr>
  </w:style>
  <w:style w:type="paragraph" w:styleId="Annotationsubject">
    <w:name w:val="annotation subject"/>
    <w:basedOn w:val="Annotationtext"/>
    <w:link w:val="AssuntodocomentrioChar"/>
    <w:qFormat/>
    <w:rsid w:val="00633834"/>
    <w:pPr/>
    <w:rPr>
      <w:b/>
      <w:bCs/>
    </w:rPr>
  </w:style>
  <w:style w:type="paragraph" w:styleId="TableParagraph" w:customStyle="1">
    <w:name w:val="Table Paragraph"/>
    <w:basedOn w:val="Normal"/>
    <w:uiPriority w:val="1"/>
    <w:qFormat/>
    <w:rsid w:val="0078123b"/>
    <w:pPr>
      <w:widowControl w:val="false"/>
      <w:spacing w:lineRule="auto" w:line="240" w:before="0" w:after="0"/>
      <w:jc w:val="center"/>
    </w:pPr>
    <w:rPr>
      <w:rFonts w:ascii="Times New Roman" w:hAnsi="Times New Roman" w:eastAsia="Times New Roman" w:cs="Times New Roman"/>
      <w:lang w:val="pt-PT"/>
    </w:rPr>
  </w:style>
  <w:style w:type="paragraph" w:styleId="Revision">
    <w:name w:val="Revision"/>
    <w:uiPriority w:val="99"/>
    <w:semiHidden/>
    <w:qFormat/>
    <w:rsid w:val="00e20dcd"/>
    <w:pPr>
      <w:widowControl/>
      <w:bidi w:val="0"/>
      <w:spacing w:lineRule="auto" w:line="240" w:before="0" w:after="0"/>
      <w:jc w:val="left"/>
    </w:pPr>
    <w:rPr>
      <w:rFonts w:ascii="Calibri" w:hAnsi="Calibri" w:eastAsia="Calibri" w:cs="Arial" w:asciiTheme="minorHAnsi" w:cstheme="minorBidi" w:eastAsiaTheme="minorHAnsi" w:hAnsiTheme="minorHAnsi"/>
      <w:color w:val="auto"/>
      <w:kern w:val="0"/>
      <w:sz w:val="22"/>
      <w:szCs w:val="22"/>
      <w:lang w:val="pt-BR" w:eastAsia="en-US" w:bidi="ar-SA"/>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39"/>
    <w:rsid w:val="00633834"/>
    <w:pPr>
      <w:spacing w:after="0" w:line="240" w:lineRule="auto"/>
    </w:pPr>
    <w:rPr>
      <w:lang w:eastAsia="pt-B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78123b"/>
    <w:pPr>
      <w:spacing w:after="0" w:line="240" w:lineRule="auto"/>
    </w:pPr>
    <w:rPr>
      <w:lang w:val="en-US"/>
    </w:rPr>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revistagalileu.globo.com/Sociedade/noticia/2014/10/autorretrato-magico-de-leonardo-da-vinci-foi-escondido-dos-nazistas.html" TargetMode="External"/><Relationship Id="rId4" Type="http://schemas.openxmlformats.org/officeDocument/2006/relationships/header" Target="header1.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wmf"/><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wmf"/><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hyperlink" Target="https://repositorio.ufscar.br/bitstream/handle/ufscar/724/6173.pdf;jsessionid=E0EA2242A2EBFB107FD3AD51583BB1DA?sequence=1" TargetMode="External"/><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hyperlink" Target="https://www.scielo.br/j/qn/a/KfBp7Qd99hKFjn7tCFN9TCz/" TargetMode="External"/><Relationship Id="rId40" Type="http://schemas.openxmlformats.org/officeDocument/2006/relationships/hyperlink" Target="https://www.scielo.br/j/qn/a/KfBp7Qd99hKFjn7tCFN9TCz/" TargetMode="External"/><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jpeg"/><Relationship Id="rId53" Type="http://schemas.openxmlformats.org/officeDocument/2006/relationships/hyperlink" Target="https://pt.wikipedia.org/wiki/Cristal" TargetMode="External"/><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hyperlink" Target="https://pt.slideshare.net/blefetrix/defeito-s-lingotamento" TargetMode="External"/><Relationship Id="rId57" Type="http://schemas.openxmlformats.org/officeDocument/2006/relationships/hyperlink" Target="https://geologiasemrumo.wordpress.com/2016/02/ 03" TargetMode="External"/><Relationship Id="rId58" Type="http://schemas.openxmlformats.org/officeDocument/2006/relationships/hyperlink" Target="https://acobrasil.org.br/site/" TargetMode="External"/><Relationship Id="rId59" Type="http://schemas.openxmlformats.org/officeDocument/2006/relationships/hyperlink" Target="https://www.academia.edu/123181526/Structure_of_Solidified" TargetMode="External"/><Relationship Id="rId60" Type="http://schemas.openxmlformats.org/officeDocument/2006/relationships/header" Target="header2.xml"/><Relationship Id="rId61" Type="http://schemas.openxmlformats.org/officeDocument/2006/relationships/numbering" Target="numbering.xml"/><Relationship Id="rId62" Type="http://schemas.openxmlformats.org/officeDocument/2006/relationships/fontTable" Target="fontTable.xml"/><Relationship Id="rId63" Type="http://schemas.openxmlformats.org/officeDocument/2006/relationships/settings" Target="settings.xml"/><Relationship Id="rId64" Type="http://schemas.openxmlformats.org/officeDocument/2006/relationships/theme" Target="theme/theme1.xml"/><Relationship Id="rId65"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49.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CFF30-E5E0-4393-B76F-FC4A396BD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5309</TotalTime>
  <Application>LibreOffice/6.0.7.3$Linux_X86_64 LibreOffice_project/00m0$Build-3</Application>
  <Pages>64</Pages>
  <Words>16971</Words>
  <Characters>96390</Characters>
  <CharactersWithSpaces>115243</CharactersWithSpaces>
  <Paragraphs>1167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2024-12-17T12:43:00Z</dcterms:created>
  <dc:creator>Samuel Lucas Santos Medeiros</dc:creator>
  <dc:description/>
  <dc:language>pt-BR</dc:language>
  <cp:lastModifiedBy>ROBERTO</cp:lastModifiedBy>
  <cp:lastPrinted>2024-05-17T11:46:00Z</cp:lastPrinted>
  <dcterms:modified xsi:type="dcterms:W3CDTF">2025-01-18T19:31:00Z</dcterms:modified>
  <cp:revision>99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bf62c4b31ba3c6dc6584cd29421ddb4c7e4f65c3e466a153419643ef68e4f4e4</vt:lpwstr>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